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4E" w:rsidRPr="00057F1C" w:rsidRDefault="007E334E" w:rsidP="007E334E">
      <w:pPr>
        <w:spacing w:line="276" w:lineRule="auto"/>
        <w:ind w:left="-142" w:right="328"/>
        <w:jc w:val="center"/>
      </w:pPr>
      <w:r w:rsidRPr="00057F1C">
        <w:rPr>
          <w:noProof/>
          <w:lang w:val="en-ZA" w:eastAsia="en-ZA"/>
        </w:rPr>
        <w:drawing>
          <wp:inline distT="0" distB="0" distL="0" distR="0" wp14:anchorId="280AB619" wp14:editId="3DF8B0B4">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E80892" w:rsidRDefault="007E334E" w:rsidP="007E334E">
      <w:pPr>
        <w:spacing w:line="276" w:lineRule="auto"/>
        <w:ind w:left="426" w:right="328" w:firstLine="720"/>
        <w:rPr>
          <w:rFonts w:cs="Arial"/>
          <w:b/>
          <w:sz w:val="14"/>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NATIONAL ASSEMBLY</w:t>
      </w:r>
    </w:p>
    <w:p w:rsidR="007E334E" w:rsidRPr="00057F1C" w:rsidRDefault="007E334E" w:rsidP="007E334E">
      <w:pPr>
        <w:spacing w:line="276" w:lineRule="auto"/>
        <w:ind w:left="426" w:right="328"/>
        <w:rPr>
          <w:rFonts w:cs="Arial"/>
          <w:b/>
          <w:bCs/>
          <w:sz w:val="18"/>
        </w:rPr>
      </w:pPr>
    </w:p>
    <w:p w:rsidR="007E334E" w:rsidRPr="008157F0" w:rsidRDefault="007E334E" w:rsidP="003E058D">
      <w:pPr>
        <w:spacing w:line="276" w:lineRule="auto"/>
        <w:ind w:right="328"/>
        <w:rPr>
          <w:rFonts w:cs="Arial"/>
          <w:b/>
          <w:bCs/>
          <w:szCs w:val="24"/>
        </w:rPr>
      </w:pPr>
      <w:r w:rsidRPr="008157F0">
        <w:rPr>
          <w:rFonts w:cs="Arial"/>
          <w:b/>
          <w:bCs/>
          <w:szCs w:val="24"/>
        </w:rPr>
        <w:t xml:space="preserve">QUESTION FOR </w:t>
      </w:r>
      <w:r w:rsidR="00C809BA" w:rsidRPr="008157F0">
        <w:rPr>
          <w:rFonts w:cs="Arial"/>
          <w:b/>
          <w:bCs/>
          <w:szCs w:val="24"/>
        </w:rPr>
        <w:t>WRITTEN</w:t>
      </w:r>
      <w:r w:rsidRPr="008157F0">
        <w:rPr>
          <w:rFonts w:cs="Arial"/>
          <w:b/>
          <w:bCs/>
          <w:szCs w:val="24"/>
        </w:rPr>
        <w:t xml:space="preserve"> REPLY</w:t>
      </w:r>
    </w:p>
    <w:p w:rsidR="007E334E" w:rsidRPr="008157F0" w:rsidRDefault="007E334E" w:rsidP="003E058D">
      <w:pPr>
        <w:spacing w:line="276" w:lineRule="auto"/>
        <w:ind w:right="328"/>
        <w:rPr>
          <w:rFonts w:cs="Arial"/>
          <w:b/>
          <w:bCs/>
          <w:szCs w:val="24"/>
        </w:rPr>
      </w:pPr>
    </w:p>
    <w:p w:rsidR="007E334E" w:rsidRPr="008157F0" w:rsidRDefault="007E334E" w:rsidP="003E058D">
      <w:pPr>
        <w:spacing w:line="276" w:lineRule="auto"/>
        <w:ind w:right="328"/>
        <w:rPr>
          <w:rFonts w:cs="Arial"/>
          <w:b/>
          <w:bCs/>
          <w:szCs w:val="24"/>
        </w:rPr>
      </w:pPr>
      <w:r w:rsidRPr="008157F0">
        <w:rPr>
          <w:rFonts w:cs="Arial"/>
          <w:b/>
          <w:bCs/>
          <w:szCs w:val="24"/>
        </w:rPr>
        <w:t xml:space="preserve">QUESTION NO.: </w:t>
      </w:r>
      <w:r w:rsidR="00D068C7">
        <w:rPr>
          <w:rFonts w:cs="Arial"/>
          <w:b/>
          <w:bCs/>
          <w:szCs w:val="24"/>
        </w:rPr>
        <w:t>1498</w:t>
      </w:r>
    </w:p>
    <w:p w:rsidR="007E334E" w:rsidRPr="008157F0" w:rsidRDefault="007E334E" w:rsidP="003E058D">
      <w:pPr>
        <w:spacing w:line="276" w:lineRule="auto"/>
        <w:ind w:right="328"/>
        <w:rPr>
          <w:rFonts w:cs="Arial"/>
          <w:b/>
          <w:bCs/>
          <w:szCs w:val="24"/>
        </w:rPr>
      </w:pPr>
    </w:p>
    <w:p w:rsidR="007E334E" w:rsidRPr="008157F0" w:rsidRDefault="007E334E" w:rsidP="003E058D">
      <w:pPr>
        <w:tabs>
          <w:tab w:val="left" w:pos="7088"/>
        </w:tabs>
        <w:spacing w:line="276" w:lineRule="auto"/>
        <w:ind w:right="328"/>
        <w:rPr>
          <w:b/>
          <w:szCs w:val="24"/>
        </w:rPr>
      </w:pPr>
      <w:r w:rsidRPr="008157F0">
        <w:rPr>
          <w:rFonts w:cs="Arial"/>
          <w:b/>
          <w:bCs/>
          <w:szCs w:val="24"/>
        </w:rPr>
        <w:t>DATE OF PUBLICATION:</w:t>
      </w:r>
      <w:r w:rsidR="00AC6B80" w:rsidRPr="008157F0">
        <w:rPr>
          <w:rFonts w:cs="Arial"/>
          <w:b/>
          <w:bCs/>
          <w:szCs w:val="24"/>
        </w:rPr>
        <w:t xml:space="preserve"> </w:t>
      </w:r>
      <w:r w:rsidR="00D068C7">
        <w:rPr>
          <w:rFonts w:cs="Arial"/>
          <w:b/>
          <w:bCs/>
          <w:szCs w:val="24"/>
        </w:rPr>
        <w:t>25</w:t>
      </w:r>
      <w:r w:rsidR="002F3BB8">
        <w:rPr>
          <w:rFonts w:cs="Arial"/>
          <w:b/>
          <w:bCs/>
          <w:szCs w:val="24"/>
        </w:rPr>
        <w:t xml:space="preserve"> MAY 2017</w:t>
      </w:r>
    </w:p>
    <w:p w:rsidR="007E334E" w:rsidRPr="008157F0" w:rsidRDefault="007E334E" w:rsidP="007E334E">
      <w:pPr>
        <w:tabs>
          <w:tab w:val="left" w:pos="7088"/>
        </w:tabs>
        <w:spacing w:line="276" w:lineRule="auto"/>
        <w:ind w:left="426" w:right="328"/>
        <w:rPr>
          <w:b/>
          <w:szCs w:val="24"/>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E334E" w:rsidRPr="008157F0" w:rsidTr="0055014D">
        <w:trPr>
          <w:trHeight w:val="151"/>
        </w:trPr>
        <w:tc>
          <w:tcPr>
            <w:tcW w:w="9781" w:type="dxa"/>
          </w:tcPr>
          <w:p w:rsidR="004C2CAB" w:rsidRPr="004C2CAB" w:rsidRDefault="00D068C7" w:rsidP="004C2CAB">
            <w:pPr>
              <w:spacing w:before="100" w:beforeAutospacing="1" w:after="100" w:afterAutospacing="1"/>
              <w:ind w:left="709" w:hanging="709"/>
              <w:jc w:val="both"/>
              <w:rPr>
                <w:b/>
                <w:bCs/>
                <w:szCs w:val="24"/>
              </w:rPr>
            </w:pPr>
            <w:r w:rsidRPr="00D068C7">
              <w:rPr>
                <w:b/>
                <w:bCs/>
                <w:szCs w:val="24"/>
              </w:rPr>
              <w:t xml:space="preserve">1498.     Mr B S Masango (DA) </w:t>
            </w:r>
            <w:r w:rsidR="004C2CAB" w:rsidRPr="004C2CAB">
              <w:rPr>
                <w:b/>
                <w:bCs/>
                <w:szCs w:val="24"/>
              </w:rPr>
              <w:t>to ask the Minister of Public Enterprises:</w:t>
            </w:r>
          </w:p>
          <w:tbl>
            <w:tblPr>
              <w:tblStyle w:val="TableGrid"/>
              <w:tblW w:w="9532" w:type="dxa"/>
              <w:tblLayout w:type="fixed"/>
              <w:tblLook w:val="04A0" w:firstRow="1" w:lastRow="0" w:firstColumn="1" w:lastColumn="0" w:noHBand="0" w:noVBand="1"/>
            </w:tblPr>
            <w:tblGrid>
              <w:gridCol w:w="459"/>
              <w:gridCol w:w="9073"/>
            </w:tblGrid>
            <w:tr w:rsidR="00AC6B80" w:rsidRPr="00D068C7" w:rsidTr="00AC6B80">
              <w:trPr>
                <w:trHeight w:val="425"/>
              </w:trPr>
              <w:tc>
                <w:tcPr>
                  <w:tcW w:w="459" w:type="dxa"/>
                  <w:tcBorders>
                    <w:top w:val="nil"/>
                    <w:left w:val="nil"/>
                    <w:bottom w:val="nil"/>
                    <w:right w:val="nil"/>
                  </w:tcBorders>
                </w:tcPr>
                <w:p w:rsidR="00AC6B80" w:rsidRPr="00D068C7" w:rsidRDefault="00AC6B80" w:rsidP="00043368">
                  <w:pPr>
                    <w:spacing w:line="276" w:lineRule="auto"/>
                    <w:jc w:val="both"/>
                    <w:outlineLvl w:val="0"/>
                    <w:rPr>
                      <w:b/>
                      <w:bCs/>
                      <w:szCs w:val="24"/>
                    </w:rPr>
                  </w:pPr>
                </w:p>
              </w:tc>
              <w:tc>
                <w:tcPr>
                  <w:tcW w:w="9073" w:type="dxa"/>
                  <w:tcBorders>
                    <w:top w:val="nil"/>
                    <w:left w:val="nil"/>
                    <w:bottom w:val="nil"/>
                    <w:right w:val="nil"/>
                  </w:tcBorders>
                </w:tcPr>
                <w:p w:rsidR="00AC6B80" w:rsidRPr="00424C22" w:rsidRDefault="00BF135C" w:rsidP="00424C22">
                  <w:pPr>
                    <w:spacing w:before="100" w:beforeAutospacing="1" w:after="100" w:afterAutospacing="1"/>
                    <w:ind w:left="811" w:hanging="493"/>
                    <w:jc w:val="both"/>
                    <w:rPr>
                      <w:bCs/>
                      <w:szCs w:val="24"/>
                    </w:rPr>
                  </w:pPr>
                  <w:r w:rsidRPr="00D068C7">
                    <w:rPr>
                      <w:bCs/>
                      <w:szCs w:val="24"/>
                    </w:rPr>
                    <w:t>(1)    </w:t>
                  </w:r>
                  <w:r w:rsidR="00D068C7" w:rsidRPr="00D068C7">
                    <w:rPr>
                      <w:bCs/>
                      <w:szCs w:val="24"/>
                    </w:rPr>
                    <w:t xml:space="preserve">Whether (a) her department and (b) each entity reporting to her procured any services from and/or made any payments to (i) a certain company </w:t>
                  </w:r>
                  <w:r w:rsidR="002D3DC7">
                    <w:rPr>
                      <w:bCs/>
                      <w:szCs w:val="24"/>
                    </w:rPr>
                    <w:t>namely Bell Pottinger</w:t>
                  </w:r>
                  <w:r w:rsidR="00D068C7" w:rsidRPr="00D068C7">
                    <w:rPr>
                      <w:bCs/>
                      <w:szCs w:val="24"/>
                    </w:rPr>
                    <w:t xml:space="preserve"> or (ii) any other public relations firms; if not, in each case, why not; if so, in each case, what (aa) services were procured, (bb) was the total cost, (cc) is the detailed breakdown of such costs, (dd) was the total amount paid, (ee) was the purpose of the payments and (ff) is</w:t>
                  </w:r>
                  <w:r w:rsidR="00D068C7">
                    <w:rPr>
                      <w:bCs/>
                      <w:szCs w:val="24"/>
                    </w:rPr>
                    <w:t xml:space="preserve"> the detailed breakdown of such </w:t>
                  </w:r>
                  <w:r w:rsidR="00D068C7" w:rsidRPr="00D068C7">
                    <w:rPr>
                      <w:bCs/>
                      <w:szCs w:val="24"/>
                    </w:rPr>
                    <w:t>payments?                        </w:t>
                  </w:r>
                  <w:r w:rsidR="00D068C7">
                    <w:rPr>
                      <w:bCs/>
                      <w:szCs w:val="24"/>
                    </w:rPr>
                    <w:t>                </w:t>
                  </w:r>
                  <w:r w:rsidR="00D068C7" w:rsidRPr="00D068C7">
                    <w:rPr>
                      <w:bCs/>
                      <w:szCs w:val="24"/>
                    </w:rPr>
                    <w:t>NW1640E</w:t>
                  </w:r>
                </w:p>
              </w:tc>
            </w:tr>
          </w:tbl>
          <w:p w:rsidR="007E334E" w:rsidRPr="008157F0" w:rsidRDefault="00057F1C" w:rsidP="00E80892">
            <w:pPr>
              <w:ind w:left="601" w:hanging="709"/>
              <w:jc w:val="both"/>
              <w:outlineLvl w:val="0"/>
              <w:rPr>
                <w:b/>
                <w:bCs/>
                <w:color w:val="auto"/>
                <w:szCs w:val="24"/>
              </w:rPr>
            </w:pPr>
            <w:r w:rsidRPr="008157F0">
              <w:rPr>
                <w:szCs w:val="24"/>
                <w:lang w:val="en-GB"/>
              </w:rPr>
              <w:t>     </w:t>
            </w:r>
            <w:r w:rsidR="00E80892" w:rsidRPr="008157F0">
              <w:rPr>
                <w:szCs w:val="24"/>
                <w:lang w:val="en-GB"/>
              </w:rPr>
              <w:t> </w:t>
            </w:r>
            <w:r w:rsidR="00C809BA" w:rsidRPr="008157F0">
              <w:rPr>
                <w:szCs w:val="24"/>
                <w:lang w:val="en-GB"/>
              </w:rPr>
              <w:t>   </w:t>
            </w:r>
            <w:r w:rsidR="0055014D" w:rsidRPr="008157F0">
              <w:rPr>
                <w:szCs w:val="24"/>
                <w:lang w:val="en-GB"/>
              </w:rPr>
              <w:t>                                 </w:t>
            </w:r>
            <w:r w:rsidR="00E80892" w:rsidRPr="008157F0">
              <w:rPr>
                <w:szCs w:val="24"/>
                <w:lang w:val="en-GB"/>
              </w:rPr>
              <w:t>                             </w:t>
            </w:r>
            <w:r w:rsidR="00043368" w:rsidRPr="008157F0">
              <w:rPr>
                <w:szCs w:val="24"/>
                <w:lang w:val="en-GB"/>
              </w:rPr>
              <w:t>                              </w:t>
            </w:r>
          </w:p>
        </w:tc>
      </w:tr>
    </w:tbl>
    <w:p w:rsidR="007E334E" w:rsidRDefault="007E334E" w:rsidP="009B7DFD">
      <w:pPr>
        <w:pStyle w:val="ListParagraph"/>
        <w:spacing w:line="276" w:lineRule="auto"/>
        <w:ind w:left="850" w:right="329" w:hanging="850"/>
        <w:rPr>
          <w:rFonts w:cs="Arial"/>
          <w:b/>
          <w:color w:val="000000"/>
          <w:sz w:val="24"/>
          <w:szCs w:val="24"/>
        </w:rPr>
      </w:pPr>
      <w:r w:rsidRPr="008157F0">
        <w:rPr>
          <w:rFonts w:ascii="Arial" w:hAnsi="Arial" w:cs="Arial"/>
          <w:b/>
          <w:color w:val="000000"/>
          <w:sz w:val="24"/>
          <w:szCs w:val="24"/>
        </w:rPr>
        <w:t>REPLY:</w:t>
      </w:r>
      <w:r w:rsidRPr="008157F0">
        <w:rPr>
          <w:rFonts w:cs="Arial"/>
          <w:b/>
          <w:color w:val="000000"/>
          <w:sz w:val="24"/>
          <w:szCs w:val="24"/>
        </w:rPr>
        <w:t xml:space="preserve"> </w:t>
      </w:r>
    </w:p>
    <w:p w:rsidR="00075214" w:rsidRDefault="00075214" w:rsidP="00075214">
      <w:pPr>
        <w:spacing w:line="276" w:lineRule="auto"/>
        <w:ind w:right="329"/>
        <w:rPr>
          <w:rFonts w:ascii="Times New Roman" w:hAnsi="Times New Roman" w:cs="Arial"/>
          <w:b/>
          <w:szCs w:val="24"/>
          <w:lang w:val="en-GB" w:eastAsia="en-US"/>
        </w:rPr>
      </w:pPr>
    </w:p>
    <w:p w:rsidR="00C127F4" w:rsidRDefault="00C127F4" w:rsidP="00075214">
      <w:pPr>
        <w:spacing w:line="276" w:lineRule="auto"/>
        <w:ind w:right="329"/>
        <w:rPr>
          <w:rFonts w:ascii="Times New Roman" w:hAnsi="Times New Roman" w:cs="Arial"/>
          <w:b/>
          <w:szCs w:val="24"/>
          <w:lang w:val="en-GB" w:eastAsia="en-US"/>
        </w:rPr>
      </w:pPr>
    </w:p>
    <w:p w:rsidR="00075214" w:rsidRDefault="00075214" w:rsidP="00075214">
      <w:pPr>
        <w:spacing w:line="276" w:lineRule="auto"/>
        <w:ind w:right="329"/>
        <w:rPr>
          <w:rFonts w:cs="Arial"/>
          <w:b/>
          <w:szCs w:val="24"/>
          <w:lang w:val="en-GB" w:eastAsia="en-US"/>
        </w:rPr>
      </w:pPr>
      <w:r w:rsidRPr="00075214">
        <w:rPr>
          <w:rFonts w:cs="Arial"/>
          <w:b/>
          <w:szCs w:val="24"/>
          <w:lang w:val="en-GB" w:eastAsia="en-US"/>
        </w:rPr>
        <w:t xml:space="preserve">DEPARTMENT </w:t>
      </w:r>
    </w:p>
    <w:p w:rsidR="00075214" w:rsidRDefault="00075214" w:rsidP="00075214">
      <w:pPr>
        <w:spacing w:line="276" w:lineRule="auto"/>
        <w:ind w:right="329"/>
        <w:rPr>
          <w:rFonts w:cs="Arial"/>
          <w:b/>
          <w:szCs w:val="24"/>
          <w:lang w:val="en-GB" w:eastAsia="en-US"/>
        </w:rPr>
      </w:pPr>
    </w:p>
    <w:tbl>
      <w:tblPr>
        <w:tblStyle w:val="TableGrid"/>
        <w:tblW w:w="83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1134"/>
        <w:gridCol w:w="992"/>
        <w:gridCol w:w="4514"/>
      </w:tblGrid>
      <w:tr w:rsidR="00075214" w:rsidRPr="00C36032" w:rsidTr="00A54F97">
        <w:tc>
          <w:tcPr>
            <w:tcW w:w="851" w:type="dxa"/>
          </w:tcPr>
          <w:p w:rsidR="00075214" w:rsidRPr="00C36032" w:rsidRDefault="00075214" w:rsidP="00A54F97">
            <w:pPr>
              <w:pStyle w:val="ListParagraph"/>
              <w:tabs>
                <w:tab w:val="left" w:pos="459"/>
              </w:tabs>
              <w:spacing w:line="276" w:lineRule="auto"/>
              <w:ind w:left="0" w:right="329"/>
              <w:rPr>
                <w:rFonts w:ascii="Arial" w:hAnsi="Arial" w:cs="Arial"/>
                <w:color w:val="000000"/>
                <w:sz w:val="24"/>
                <w:szCs w:val="24"/>
              </w:rPr>
            </w:pPr>
            <w:r w:rsidRPr="00C36032">
              <w:rPr>
                <w:rFonts w:ascii="Arial" w:hAnsi="Arial" w:cs="Arial"/>
                <w:color w:val="000000"/>
                <w:sz w:val="24"/>
                <w:szCs w:val="24"/>
              </w:rPr>
              <w:t>(1)</w:t>
            </w: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w:t>
            </w:r>
          </w:p>
        </w:tc>
        <w:tc>
          <w:tcPr>
            <w:tcW w:w="6640" w:type="dxa"/>
            <w:gridSpan w:val="3"/>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w:t>
            </w:r>
          </w:p>
        </w:tc>
        <w:tc>
          <w:tcPr>
            <w:tcW w:w="6640" w:type="dxa"/>
            <w:gridSpan w:val="3"/>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w:t>
            </w:r>
          </w:p>
        </w:tc>
        <w:tc>
          <w:tcPr>
            <w:tcW w:w="5506" w:type="dxa"/>
            <w:gridSpan w:val="2"/>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(ii)</w:t>
            </w:r>
          </w:p>
        </w:tc>
        <w:tc>
          <w:tcPr>
            <w:tcW w:w="5506" w:type="dxa"/>
            <w:gridSpan w:val="2"/>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992"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(aa)</w:t>
            </w:r>
          </w:p>
        </w:tc>
        <w:tc>
          <w:tcPr>
            <w:tcW w:w="451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None</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992"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(bb)</w:t>
            </w:r>
          </w:p>
        </w:tc>
        <w:tc>
          <w:tcPr>
            <w:tcW w:w="451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992"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(cc)</w:t>
            </w:r>
          </w:p>
        </w:tc>
        <w:tc>
          <w:tcPr>
            <w:tcW w:w="451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992"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(dd)</w:t>
            </w:r>
          </w:p>
        </w:tc>
        <w:tc>
          <w:tcPr>
            <w:tcW w:w="451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992"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(ee)</w:t>
            </w:r>
          </w:p>
        </w:tc>
        <w:tc>
          <w:tcPr>
            <w:tcW w:w="451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075214" w:rsidRPr="00C36032" w:rsidTr="00A54F97">
        <w:tc>
          <w:tcPr>
            <w:tcW w:w="851"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850"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1134" w:type="dxa"/>
          </w:tcPr>
          <w:p w:rsidR="00075214" w:rsidRPr="00C36032" w:rsidRDefault="00075214" w:rsidP="00A54F97">
            <w:pPr>
              <w:pStyle w:val="ListParagraph"/>
              <w:spacing w:line="276" w:lineRule="auto"/>
              <w:ind w:left="0" w:right="329"/>
              <w:rPr>
                <w:rFonts w:ascii="Arial" w:hAnsi="Arial" w:cs="Arial"/>
                <w:color w:val="000000"/>
                <w:sz w:val="24"/>
                <w:szCs w:val="24"/>
              </w:rPr>
            </w:pPr>
          </w:p>
        </w:tc>
        <w:tc>
          <w:tcPr>
            <w:tcW w:w="992"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(ff)</w:t>
            </w:r>
          </w:p>
        </w:tc>
        <w:tc>
          <w:tcPr>
            <w:tcW w:w="4514" w:type="dxa"/>
          </w:tcPr>
          <w:p w:rsidR="00075214" w:rsidRPr="00C36032" w:rsidRDefault="00075214" w:rsidP="00A54F97">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bl>
    <w:p w:rsidR="00075214" w:rsidRPr="00075214" w:rsidRDefault="00075214" w:rsidP="00075214">
      <w:pPr>
        <w:spacing w:line="276" w:lineRule="auto"/>
        <w:ind w:right="329"/>
        <w:rPr>
          <w:rFonts w:cs="Arial"/>
          <w:b/>
          <w:szCs w:val="24"/>
        </w:rPr>
      </w:pPr>
    </w:p>
    <w:p w:rsidR="00DF4E1F" w:rsidRDefault="00DF4E1F" w:rsidP="009B7DFD">
      <w:pPr>
        <w:pStyle w:val="ListParagraph"/>
        <w:spacing w:line="276" w:lineRule="auto"/>
        <w:ind w:left="850" w:right="329" w:hanging="850"/>
        <w:rPr>
          <w:rFonts w:cs="Arial"/>
          <w:b/>
          <w:color w:val="000000"/>
          <w:sz w:val="24"/>
          <w:szCs w:val="24"/>
        </w:rPr>
      </w:pPr>
    </w:p>
    <w:p w:rsidR="00075214" w:rsidRDefault="00075214" w:rsidP="009B7DFD">
      <w:pPr>
        <w:pStyle w:val="ListParagraph"/>
        <w:spacing w:line="276" w:lineRule="auto"/>
        <w:ind w:left="850" w:right="329" w:hanging="850"/>
        <w:rPr>
          <w:rFonts w:cs="Arial"/>
          <w:b/>
          <w:color w:val="000000"/>
          <w:sz w:val="24"/>
          <w:szCs w:val="24"/>
        </w:rPr>
      </w:pPr>
    </w:p>
    <w:p w:rsidR="00075214" w:rsidRDefault="00075214" w:rsidP="009B7DFD">
      <w:pPr>
        <w:pStyle w:val="ListParagraph"/>
        <w:spacing w:line="276" w:lineRule="auto"/>
        <w:ind w:left="850" w:right="329" w:hanging="850"/>
        <w:rPr>
          <w:rFonts w:cs="Arial"/>
          <w:b/>
          <w:color w:val="000000"/>
          <w:sz w:val="24"/>
          <w:szCs w:val="24"/>
        </w:rPr>
      </w:pPr>
    </w:p>
    <w:p w:rsidR="00217872" w:rsidRDefault="00217872" w:rsidP="009B7DFD">
      <w:pPr>
        <w:pStyle w:val="ListParagraph"/>
        <w:spacing w:line="276" w:lineRule="auto"/>
        <w:ind w:left="850" w:right="329" w:hanging="850"/>
        <w:rPr>
          <w:rFonts w:cs="Arial"/>
          <w:b/>
          <w:color w:val="000000"/>
          <w:sz w:val="24"/>
          <w:szCs w:val="24"/>
        </w:rPr>
      </w:pPr>
    </w:p>
    <w:p w:rsidR="00217872" w:rsidRDefault="00217872" w:rsidP="009B7DFD">
      <w:pPr>
        <w:pStyle w:val="ListParagraph"/>
        <w:spacing w:line="276" w:lineRule="auto"/>
        <w:ind w:left="850" w:right="329" w:hanging="850"/>
        <w:rPr>
          <w:rFonts w:cs="Arial"/>
          <w:b/>
          <w:color w:val="000000"/>
          <w:sz w:val="24"/>
          <w:szCs w:val="24"/>
        </w:rPr>
      </w:pPr>
    </w:p>
    <w:p w:rsidR="00217872" w:rsidRDefault="00217872" w:rsidP="009B7DFD">
      <w:pPr>
        <w:pStyle w:val="ListParagraph"/>
        <w:spacing w:line="276" w:lineRule="auto"/>
        <w:ind w:left="850" w:right="329" w:hanging="850"/>
        <w:rPr>
          <w:rFonts w:cs="Arial"/>
          <w:b/>
          <w:color w:val="000000"/>
          <w:sz w:val="24"/>
          <w:szCs w:val="24"/>
        </w:rPr>
      </w:pPr>
    </w:p>
    <w:p w:rsidR="00075214" w:rsidRDefault="00075214" w:rsidP="009B7DFD">
      <w:pPr>
        <w:pStyle w:val="ListParagraph"/>
        <w:spacing w:line="276" w:lineRule="auto"/>
        <w:ind w:left="850" w:right="329" w:hanging="850"/>
        <w:rPr>
          <w:rFonts w:cs="Arial"/>
          <w:b/>
          <w:color w:val="000000"/>
          <w:sz w:val="24"/>
          <w:szCs w:val="24"/>
        </w:rPr>
      </w:pPr>
    </w:p>
    <w:p w:rsidR="00274EAD" w:rsidRPr="002109DE" w:rsidRDefault="00274EAD" w:rsidP="009B7DFD">
      <w:pPr>
        <w:pStyle w:val="ListParagraph"/>
        <w:spacing w:line="276" w:lineRule="auto"/>
        <w:ind w:left="850" w:right="329" w:hanging="850"/>
        <w:rPr>
          <w:rFonts w:ascii="Arial" w:hAnsi="Arial" w:cs="Arial"/>
          <w:b/>
          <w:color w:val="000000"/>
          <w:sz w:val="24"/>
          <w:szCs w:val="24"/>
        </w:rPr>
      </w:pPr>
      <w:r w:rsidRPr="002109DE">
        <w:rPr>
          <w:rFonts w:ascii="Arial" w:hAnsi="Arial" w:cs="Arial"/>
          <w:b/>
          <w:color w:val="000000"/>
          <w:sz w:val="24"/>
          <w:szCs w:val="24"/>
        </w:rPr>
        <w:t>ALEXKOR SOC LIMITED:</w:t>
      </w:r>
    </w:p>
    <w:p w:rsidR="00274EAD" w:rsidRDefault="00274EAD" w:rsidP="009B7DFD">
      <w:pPr>
        <w:pStyle w:val="ListParagraph"/>
        <w:spacing w:line="276" w:lineRule="auto"/>
        <w:ind w:left="850" w:right="329" w:hanging="850"/>
        <w:rPr>
          <w:rFonts w:cs="Arial"/>
          <w:b/>
          <w:color w:val="000000"/>
          <w:sz w:val="24"/>
          <w:szCs w:val="24"/>
        </w:rPr>
      </w:pPr>
    </w:p>
    <w:tbl>
      <w:tblPr>
        <w:tblStyle w:val="TableGrid"/>
        <w:tblW w:w="83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1134"/>
        <w:gridCol w:w="992"/>
        <w:gridCol w:w="4514"/>
      </w:tblGrid>
      <w:tr w:rsidR="00274EAD" w:rsidRPr="00C36032" w:rsidTr="002109DE">
        <w:tc>
          <w:tcPr>
            <w:tcW w:w="851" w:type="dxa"/>
          </w:tcPr>
          <w:p w:rsidR="00274EAD" w:rsidRPr="00C36032" w:rsidRDefault="00274EAD" w:rsidP="002109DE">
            <w:pPr>
              <w:pStyle w:val="ListParagraph"/>
              <w:tabs>
                <w:tab w:val="left" w:pos="459"/>
              </w:tabs>
              <w:spacing w:line="276" w:lineRule="auto"/>
              <w:ind w:left="0" w:right="329"/>
              <w:rPr>
                <w:rFonts w:ascii="Arial" w:hAnsi="Arial" w:cs="Arial"/>
                <w:color w:val="000000"/>
                <w:sz w:val="24"/>
                <w:szCs w:val="24"/>
              </w:rPr>
            </w:pPr>
            <w:r w:rsidRPr="00C36032">
              <w:rPr>
                <w:rFonts w:ascii="Arial" w:hAnsi="Arial" w:cs="Arial"/>
                <w:color w:val="000000"/>
                <w:sz w:val="24"/>
                <w:szCs w:val="24"/>
              </w:rPr>
              <w:t>(1)</w:t>
            </w:r>
          </w:p>
        </w:tc>
        <w:tc>
          <w:tcPr>
            <w:tcW w:w="850" w:type="dxa"/>
          </w:tcPr>
          <w:p w:rsidR="00274EAD" w:rsidRPr="00C36032" w:rsidRDefault="00274EAD"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w:t>
            </w:r>
          </w:p>
        </w:tc>
        <w:tc>
          <w:tcPr>
            <w:tcW w:w="6640" w:type="dxa"/>
            <w:gridSpan w:val="3"/>
          </w:tcPr>
          <w:p w:rsidR="00274EAD"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274EAD" w:rsidRPr="00C36032" w:rsidTr="002109DE">
        <w:tc>
          <w:tcPr>
            <w:tcW w:w="851" w:type="dxa"/>
          </w:tcPr>
          <w:p w:rsidR="00274EAD" w:rsidRPr="00C36032" w:rsidRDefault="00274EAD" w:rsidP="009B7DFD">
            <w:pPr>
              <w:pStyle w:val="ListParagraph"/>
              <w:spacing w:line="276" w:lineRule="auto"/>
              <w:ind w:left="0" w:right="329"/>
              <w:rPr>
                <w:rFonts w:ascii="Arial" w:hAnsi="Arial" w:cs="Arial"/>
                <w:color w:val="000000"/>
                <w:sz w:val="24"/>
                <w:szCs w:val="24"/>
              </w:rPr>
            </w:pPr>
          </w:p>
        </w:tc>
        <w:tc>
          <w:tcPr>
            <w:tcW w:w="850" w:type="dxa"/>
          </w:tcPr>
          <w:p w:rsidR="00274EAD" w:rsidRPr="00C36032" w:rsidRDefault="00274EAD"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w:t>
            </w:r>
          </w:p>
        </w:tc>
        <w:tc>
          <w:tcPr>
            <w:tcW w:w="6640" w:type="dxa"/>
            <w:gridSpan w:val="3"/>
          </w:tcPr>
          <w:p w:rsidR="00274EAD"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74EAD" w:rsidRPr="00C36032" w:rsidTr="002109DE">
        <w:tc>
          <w:tcPr>
            <w:tcW w:w="851" w:type="dxa"/>
          </w:tcPr>
          <w:p w:rsidR="00274EAD" w:rsidRPr="00C36032" w:rsidRDefault="00274EAD" w:rsidP="009B7DFD">
            <w:pPr>
              <w:pStyle w:val="ListParagraph"/>
              <w:spacing w:line="276" w:lineRule="auto"/>
              <w:ind w:left="0" w:right="329"/>
              <w:rPr>
                <w:rFonts w:ascii="Arial" w:hAnsi="Arial" w:cs="Arial"/>
                <w:color w:val="000000"/>
                <w:sz w:val="24"/>
                <w:szCs w:val="24"/>
              </w:rPr>
            </w:pPr>
          </w:p>
        </w:tc>
        <w:tc>
          <w:tcPr>
            <w:tcW w:w="850" w:type="dxa"/>
          </w:tcPr>
          <w:p w:rsidR="00274EAD" w:rsidRPr="00C36032" w:rsidRDefault="00274EAD" w:rsidP="009B7DFD">
            <w:pPr>
              <w:pStyle w:val="ListParagraph"/>
              <w:spacing w:line="276" w:lineRule="auto"/>
              <w:ind w:left="0" w:right="329"/>
              <w:rPr>
                <w:rFonts w:ascii="Arial" w:hAnsi="Arial" w:cs="Arial"/>
                <w:color w:val="000000"/>
                <w:sz w:val="24"/>
                <w:szCs w:val="24"/>
              </w:rPr>
            </w:pPr>
          </w:p>
        </w:tc>
        <w:tc>
          <w:tcPr>
            <w:tcW w:w="1134" w:type="dxa"/>
          </w:tcPr>
          <w:p w:rsidR="00274EAD"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w:t>
            </w:r>
          </w:p>
        </w:tc>
        <w:tc>
          <w:tcPr>
            <w:tcW w:w="5506" w:type="dxa"/>
            <w:gridSpan w:val="2"/>
          </w:tcPr>
          <w:p w:rsidR="00274EAD"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74EAD" w:rsidRPr="00C36032" w:rsidTr="002109DE">
        <w:tc>
          <w:tcPr>
            <w:tcW w:w="851" w:type="dxa"/>
          </w:tcPr>
          <w:p w:rsidR="00274EAD" w:rsidRPr="00C36032" w:rsidRDefault="00274EAD" w:rsidP="009B7DFD">
            <w:pPr>
              <w:pStyle w:val="ListParagraph"/>
              <w:spacing w:line="276" w:lineRule="auto"/>
              <w:ind w:left="0" w:right="329"/>
              <w:rPr>
                <w:rFonts w:ascii="Arial" w:hAnsi="Arial" w:cs="Arial"/>
                <w:color w:val="000000"/>
                <w:sz w:val="24"/>
                <w:szCs w:val="24"/>
              </w:rPr>
            </w:pPr>
          </w:p>
        </w:tc>
        <w:tc>
          <w:tcPr>
            <w:tcW w:w="850" w:type="dxa"/>
          </w:tcPr>
          <w:p w:rsidR="00274EAD" w:rsidRPr="00C36032" w:rsidRDefault="00274EAD" w:rsidP="009B7DFD">
            <w:pPr>
              <w:pStyle w:val="ListParagraph"/>
              <w:spacing w:line="276" w:lineRule="auto"/>
              <w:ind w:left="0" w:right="329"/>
              <w:rPr>
                <w:rFonts w:ascii="Arial" w:hAnsi="Arial" w:cs="Arial"/>
                <w:color w:val="000000"/>
                <w:sz w:val="24"/>
                <w:szCs w:val="24"/>
              </w:rPr>
            </w:pPr>
          </w:p>
        </w:tc>
        <w:tc>
          <w:tcPr>
            <w:tcW w:w="1134" w:type="dxa"/>
          </w:tcPr>
          <w:p w:rsidR="00274EAD"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(ii)</w:t>
            </w:r>
          </w:p>
        </w:tc>
        <w:tc>
          <w:tcPr>
            <w:tcW w:w="5506" w:type="dxa"/>
            <w:gridSpan w:val="2"/>
          </w:tcPr>
          <w:p w:rsidR="00274EAD"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CF30F9" w:rsidRPr="00C36032" w:rsidTr="002109DE">
        <w:tc>
          <w:tcPr>
            <w:tcW w:w="851"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850"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1134"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992" w:type="dxa"/>
          </w:tcPr>
          <w:p w:rsidR="00CF30F9"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(aa)</w:t>
            </w:r>
          </w:p>
        </w:tc>
        <w:tc>
          <w:tcPr>
            <w:tcW w:w="4514" w:type="dxa"/>
          </w:tcPr>
          <w:p w:rsidR="00CF30F9"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None</w:t>
            </w:r>
          </w:p>
        </w:tc>
      </w:tr>
      <w:tr w:rsidR="00CF30F9" w:rsidRPr="00C36032" w:rsidTr="002109DE">
        <w:tc>
          <w:tcPr>
            <w:tcW w:w="851"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850"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1134"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992" w:type="dxa"/>
          </w:tcPr>
          <w:p w:rsidR="00CF30F9"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(bb)</w:t>
            </w:r>
          </w:p>
        </w:tc>
        <w:tc>
          <w:tcPr>
            <w:tcW w:w="4514" w:type="dxa"/>
          </w:tcPr>
          <w:p w:rsidR="00CF30F9"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CF30F9" w:rsidRPr="00C36032" w:rsidTr="002109DE">
        <w:tc>
          <w:tcPr>
            <w:tcW w:w="851"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850"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1134"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992" w:type="dxa"/>
          </w:tcPr>
          <w:p w:rsidR="00CF30F9"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(cc)</w:t>
            </w:r>
          </w:p>
        </w:tc>
        <w:tc>
          <w:tcPr>
            <w:tcW w:w="4514" w:type="dxa"/>
          </w:tcPr>
          <w:p w:rsidR="00CF30F9"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CF30F9" w:rsidRPr="00C36032" w:rsidTr="002109DE">
        <w:tc>
          <w:tcPr>
            <w:tcW w:w="851"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850"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1134"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992" w:type="dxa"/>
          </w:tcPr>
          <w:p w:rsidR="00CF30F9"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(dd)</w:t>
            </w:r>
          </w:p>
        </w:tc>
        <w:tc>
          <w:tcPr>
            <w:tcW w:w="4514" w:type="dxa"/>
          </w:tcPr>
          <w:p w:rsidR="00CF30F9"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CF30F9" w:rsidRPr="00C36032" w:rsidTr="002109DE">
        <w:tc>
          <w:tcPr>
            <w:tcW w:w="851"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850"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1134"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992" w:type="dxa"/>
          </w:tcPr>
          <w:p w:rsidR="00CF30F9"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(ee)</w:t>
            </w:r>
          </w:p>
        </w:tc>
        <w:tc>
          <w:tcPr>
            <w:tcW w:w="4514" w:type="dxa"/>
          </w:tcPr>
          <w:p w:rsidR="00CF30F9"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CF30F9" w:rsidRPr="00C36032" w:rsidTr="002109DE">
        <w:tc>
          <w:tcPr>
            <w:tcW w:w="851"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850"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1134" w:type="dxa"/>
          </w:tcPr>
          <w:p w:rsidR="00CF30F9" w:rsidRPr="00C36032" w:rsidRDefault="00CF30F9" w:rsidP="009B7DFD">
            <w:pPr>
              <w:pStyle w:val="ListParagraph"/>
              <w:spacing w:line="276" w:lineRule="auto"/>
              <w:ind w:left="0" w:right="329"/>
              <w:rPr>
                <w:rFonts w:ascii="Arial" w:hAnsi="Arial" w:cs="Arial"/>
                <w:color w:val="000000"/>
                <w:sz w:val="24"/>
                <w:szCs w:val="24"/>
              </w:rPr>
            </w:pPr>
          </w:p>
        </w:tc>
        <w:tc>
          <w:tcPr>
            <w:tcW w:w="992" w:type="dxa"/>
          </w:tcPr>
          <w:p w:rsidR="00CF30F9" w:rsidRPr="00C36032" w:rsidRDefault="00CF30F9"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(ff)</w:t>
            </w:r>
          </w:p>
        </w:tc>
        <w:tc>
          <w:tcPr>
            <w:tcW w:w="4514" w:type="dxa"/>
          </w:tcPr>
          <w:p w:rsidR="00CF30F9" w:rsidRPr="00C36032" w:rsidRDefault="00C36032" w:rsidP="009B7DFD">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bl>
    <w:p w:rsidR="00274EAD" w:rsidRDefault="00274EAD" w:rsidP="009B7DFD">
      <w:pPr>
        <w:pStyle w:val="ListParagraph"/>
        <w:spacing w:line="276" w:lineRule="auto"/>
        <w:ind w:left="850" w:right="329" w:hanging="850"/>
        <w:rPr>
          <w:rFonts w:cs="Arial"/>
          <w:b/>
          <w:color w:val="000000"/>
          <w:sz w:val="24"/>
          <w:szCs w:val="24"/>
        </w:rPr>
      </w:pPr>
    </w:p>
    <w:p w:rsidR="002109DE" w:rsidRPr="002109DE" w:rsidRDefault="002109DE" w:rsidP="002109DE">
      <w:pPr>
        <w:pStyle w:val="ListParagraph"/>
        <w:spacing w:line="276" w:lineRule="auto"/>
        <w:ind w:left="850" w:right="329" w:hanging="850"/>
        <w:rPr>
          <w:rFonts w:ascii="Arial" w:hAnsi="Arial" w:cs="Arial"/>
          <w:b/>
          <w:color w:val="000000"/>
          <w:sz w:val="24"/>
          <w:szCs w:val="24"/>
        </w:rPr>
      </w:pPr>
      <w:r>
        <w:rPr>
          <w:rFonts w:ascii="Arial" w:hAnsi="Arial" w:cs="Arial"/>
          <w:b/>
          <w:color w:val="000000"/>
          <w:sz w:val="24"/>
          <w:szCs w:val="24"/>
        </w:rPr>
        <w:t>DENEL</w:t>
      </w:r>
      <w:r w:rsidRPr="002109DE">
        <w:rPr>
          <w:rFonts w:ascii="Arial" w:hAnsi="Arial" w:cs="Arial"/>
          <w:b/>
          <w:color w:val="000000"/>
          <w:sz w:val="24"/>
          <w:szCs w:val="24"/>
        </w:rPr>
        <w:t>SOC LIMITED:</w:t>
      </w:r>
    </w:p>
    <w:p w:rsidR="002109DE" w:rsidRDefault="002109DE" w:rsidP="002109DE">
      <w:pPr>
        <w:pStyle w:val="ListParagraph"/>
        <w:spacing w:line="276" w:lineRule="auto"/>
        <w:ind w:left="850" w:right="329" w:hanging="850"/>
        <w:rPr>
          <w:rFonts w:cs="Arial"/>
          <w:b/>
          <w:color w:val="000000"/>
          <w:sz w:val="24"/>
          <w:szCs w:val="24"/>
        </w:rPr>
      </w:pPr>
    </w:p>
    <w:tbl>
      <w:tblPr>
        <w:tblStyle w:val="TableGrid"/>
        <w:tblW w:w="83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1134"/>
        <w:gridCol w:w="992"/>
        <w:gridCol w:w="4514"/>
      </w:tblGrid>
      <w:tr w:rsidR="002109DE" w:rsidRPr="00C36032" w:rsidTr="008547C2">
        <w:tc>
          <w:tcPr>
            <w:tcW w:w="851" w:type="dxa"/>
          </w:tcPr>
          <w:p w:rsidR="002109DE" w:rsidRPr="00C36032" w:rsidRDefault="002109DE" w:rsidP="008547C2">
            <w:pPr>
              <w:pStyle w:val="ListParagraph"/>
              <w:tabs>
                <w:tab w:val="left" w:pos="459"/>
              </w:tabs>
              <w:spacing w:line="276" w:lineRule="auto"/>
              <w:ind w:left="0" w:right="329"/>
              <w:rPr>
                <w:rFonts w:ascii="Arial" w:hAnsi="Arial" w:cs="Arial"/>
                <w:color w:val="000000"/>
                <w:sz w:val="24"/>
                <w:szCs w:val="24"/>
              </w:rPr>
            </w:pPr>
            <w:r w:rsidRPr="00C36032">
              <w:rPr>
                <w:rFonts w:ascii="Arial" w:hAnsi="Arial" w:cs="Arial"/>
                <w:color w:val="000000"/>
                <w:sz w:val="24"/>
                <w:szCs w:val="24"/>
              </w:rPr>
              <w:t>(1)</w:t>
            </w: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w:t>
            </w:r>
          </w:p>
        </w:tc>
        <w:tc>
          <w:tcPr>
            <w:tcW w:w="6640" w:type="dxa"/>
            <w:gridSpan w:val="3"/>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w:t>
            </w:r>
          </w:p>
        </w:tc>
        <w:tc>
          <w:tcPr>
            <w:tcW w:w="6640" w:type="dxa"/>
            <w:gridSpan w:val="3"/>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w:t>
            </w:r>
          </w:p>
        </w:tc>
        <w:tc>
          <w:tcPr>
            <w:tcW w:w="5506" w:type="dxa"/>
            <w:gridSpan w:val="2"/>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(ii)</w:t>
            </w:r>
          </w:p>
        </w:tc>
        <w:tc>
          <w:tcPr>
            <w:tcW w:w="5506" w:type="dxa"/>
            <w:gridSpan w:val="2"/>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(aa)</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None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(bb)</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(cc)</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(dd)</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(ee)</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(ff)</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bl>
    <w:p w:rsidR="002109DE" w:rsidRDefault="002109DE" w:rsidP="002109DE">
      <w:pPr>
        <w:pStyle w:val="ListParagraph"/>
        <w:spacing w:line="276" w:lineRule="auto"/>
        <w:ind w:left="850" w:right="329" w:hanging="850"/>
        <w:rPr>
          <w:rFonts w:cs="Arial"/>
          <w:b/>
          <w:color w:val="000000"/>
          <w:sz w:val="24"/>
          <w:szCs w:val="24"/>
        </w:rPr>
      </w:pPr>
    </w:p>
    <w:p w:rsidR="00465AF6" w:rsidRDefault="00465AF6" w:rsidP="002109DE">
      <w:pPr>
        <w:pStyle w:val="ListParagraph"/>
        <w:spacing w:line="276" w:lineRule="auto"/>
        <w:ind w:left="850" w:right="329" w:hanging="850"/>
        <w:rPr>
          <w:rFonts w:ascii="Arial" w:hAnsi="Arial" w:cs="Arial"/>
          <w:b/>
          <w:color w:val="000000"/>
          <w:sz w:val="24"/>
          <w:szCs w:val="24"/>
        </w:rPr>
      </w:pPr>
      <w:r>
        <w:rPr>
          <w:rFonts w:ascii="Arial" w:hAnsi="Arial" w:cs="Arial"/>
          <w:b/>
          <w:color w:val="000000"/>
          <w:sz w:val="24"/>
          <w:szCs w:val="24"/>
        </w:rPr>
        <w:t xml:space="preserve">ESKOM SOC LTD </w:t>
      </w:r>
    </w:p>
    <w:p w:rsidR="00465AF6" w:rsidRDefault="00465AF6" w:rsidP="002109DE">
      <w:pPr>
        <w:pStyle w:val="ListParagraph"/>
        <w:spacing w:line="276" w:lineRule="auto"/>
        <w:ind w:left="850" w:right="329" w:hanging="850"/>
        <w:rPr>
          <w:rFonts w:ascii="Arial" w:hAnsi="Arial" w:cs="Arial"/>
          <w:b/>
          <w:color w:val="000000"/>
          <w:sz w:val="24"/>
          <w:szCs w:val="24"/>
        </w:rPr>
      </w:pPr>
    </w:p>
    <w:p w:rsidR="00465AF6" w:rsidRPr="005A5495" w:rsidRDefault="00465AF6" w:rsidP="00465AF6">
      <w:pPr>
        <w:pStyle w:val="ListParagraph"/>
        <w:numPr>
          <w:ilvl w:val="0"/>
          <w:numId w:val="28"/>
        </w:numPr>
        <w:ind w:left="0" w:right="850" w:firstLine="0"/>
        <w:contextualSpacing/>
        <w:rPr>
          <w:rFonts w:ascii="Arial" w:hAnsi="Arial" w:cs="Arial"/>
          <w:sz w:val="22"/>
          <w:szCs w:val="22"/>
          <w:lang w:val="en-US"/>
        </w:rPr>
      </w:pPr>
      <w:r w:rsidRPr="005A5495">
        <w:rPr>
          <w:rFonts w:ascii="Arial" w:hAnsi="Arial" w:cs="Arial"/>
          <w:sz w:val="22"/>
          <w:szCs w:val="22"/>
          <w:lang w:val="en-US"/>
        </w:rPr>
        <w:t>For Department of Public Enterprises</w:t>
      </w:r>
    </w:p>
    <w:p w:rsidR="00465AF6" w:rsidRPr="00B64F2C" w:rsidRDefault="00465AF6" w:rsidP="00465AF6">
      <w:pPr>
        <w:pStyle w:val="ListParagraph"/>
        <w:ind w:left="432"/>
        <w:rPr>
          <w:rFonts w:ascii="Arial" w:hAnsi="Arial" w:cs="Arial"/>
          <w:lang w:val="en-US"/>
        </w:rPr>
      </w:pPr>
    </w:p>
    <w:p w:rsidR="00465AF6" w:rsidRDefault="00465AF6" w:rsidP="00465AF6">
      <w:pPr>
        <w:spacing w:line="360" w:lineRule="auto"/>
        <w:jc w:val="both"/>
        <w:rPr>
          <w:rFonts w:cs="Arial"/>
          <w:sz w:val="22"/>
          <w:szCs w:val="22"/>
        </w:rPr>
      </w:pPr>
      <w:r w:rsidRPr="001E44AB">
        <w:rPr>
          <w:rFonts w:cs="Arial"/>
          <w:b/>
          <w:sz w:val="22"/>
          <w:szCs w:val="22"/>
        </w:rPr>
        <w:t>(b)(i)</w:t>
      </w:r>
      <w:r>
        <w:rPr>
          <w:rFonts w:cs="Arial"/>
          <w:b/>
          <w:sz w:val="22"/>
          <w:szCs w:val="22"/>
        </w:rPr>
        <w:t xml:space="preserve">   </w:t>
      </w:r>
      <w:r w:rsidRPr="00A036B6">
        <w:rPr>
          <w:rFonts w:cs="Arial"/>
          <w:sz w:val="22"/>
          <w:szCs w:val="22"/>
        </w:rPr>
        <w:t xml:space="preserve">No services were procured by Eskom from Bell Pottinger.  Eskom has not raised </w:t>
      </w:r>
    </w:p>
    <w:p w:rsidR="00465AF6" w:rsidRPr="00A036B6" w:rsidRDefault="00465AF6" w:rsidP="00465AF6">
      <w:pPr>
        <w:spacing w:line="360" w:lineRule="auto"/>
        <w:ind w:left="720"/>
        <w:jc w:val="both"/>
        <w:rPr>
          <w:rFonts w:cs="Arial"/>
          <w:sz w:val="22"/>
          <w:szCs w:val="22"/>
        </w:rPr>
      </w:pPr>
      <w:r w:rsidRPr="00A036B6">
        <w:rPr>
          <w:rFonts w:cs="Arial"/>
          <w:sz w:val="22"/>
          <w:szCs w:val="22"/>
        </w:rPr>
        <w:t xml:space="preserve">a need that would require Commercial to procure any services from the Bell Pottinger.  </w:t>
      </w:r>
    </w:p>
    <w:p w:rsidR="00465AF6" w:rsidRPr="00D02FEE" w:rsidRDefault="00465AF6" w:rsidP="00465AF6">
      <w:pPr>
        <w:pStyle w:val="ListParagraph"/>
        <w:ind w:left="432"/>
        <w:rPr>
          <w:rFonts w:ascii="Arial" w:hAnsi="Arial" w:cs="Arial"/>
          <w:sz w:val="22"/>
          <w:szCs w:val="22"/>
          <w:lang w:val="en-US"/>
        </w:rPr>
      </w:pPr>
    </w:p>
    <w:p w:rsidR="00465AF6" w:rsidRDefault="00465AF6" w:rsidP="00465AF6">
      <w:pPr>
        <w:spacing w:line="360" w:lineRule="auto"/>
        <w:jc w:val="both"/>
        <w:rPr>
          <w:rFonts w:cs="Arial"/>
          <w:sz w:val="22"/>
          <w:szCs w:val="22"/>
        </w:rPr>
      </w:pPr>
      <w:r w:rsidRPr="001E44AB">
        <w:rPr>
          <w:rFonts w:cs="Arial"/>
          <w:b/>
          <w:sz w:val="22"/>
          <w:szCs w:val="22"/>
        </w:rPr>
        <w:t>(b)(ii)</w:t>
      </w:r>
      <w:r>
        <w:rPr>
          <w:rFonts w:cs="Arial"/>
          <w:b/>
          <w:sz w:val="22"/>
          <w:szCs w:val="22"/>
        </w:rPr>
        <w:t xml:space="preserve">  </w:t>
      </w:r>
      <w:r w:rsidRPr="001E44AB">
        <w:rPr>
          <w:rFonts w:cs="Arial"/>
          <w:sz w:val="22"/>
          <w:szCs w:val="22"/>
        </w:rPr>
        <w:t xml:space="preserve">Eskom procured </w:t>
      </w:r>
      <w:r>
        <w:rPr>
          <w:rFonts w:cs="Arial"/>
          <w:sz w:val="22"/>
          <w:szCs w:val="22"/>
        </w:rPr>
        <w:t xml:space="preserve">public relations </w:t>
      </w:r>
      <w:r w:rsidRPr="009A414F">
        <w:rPr>
          <w:rFonts w:cs="Arial"/>
          <w:sz w:val="22"/>
          <w:szCs w:val="22"/>
        </w:rPr>
        <w:t>services and made payments to</w:t>
      </w:r>
      <w:r>
        <w:rPr>
          <w:rFonts w:cs="Arial"/>
          <w:sz w:val="22"/>
          <w:szCs w:val="22"/>
        </w:rPr>
        <w:t xml:space="preserve"> these</w:t>
      </w:r>
      <w:r w:rsidRPr="009A414F">
        <w:rPr>
          <w:rFonts w:cs="Arial"/>
          <w:sz w:val="22"/>
          <w:szCs w:val="22"/>
        </w:rPr>
        <w:t xml:space="preserve"> four (4) </w:t>
      </w:r>
    </w:p>
    <w:p w:rsidR="00465AF6" w:rsidRDefault="00C127F4" w:rsidP="00465AF6">
      <w:pPr>
        <w:spacing w:line="360" w:lineRule="auto"/>
        <w:ind w:left="720"/>
        <w:jc w:val="both"/>
        <w:rPr>
          <w:rFonts w:cs="Arial"/>
          <w:sz w:val="22"/>
          <w:szCs w:val="22"/>
        </w:rPr>
      </w:pPr>
      <w:r w:rsidRPr="009A414F">
        <w:rPr>
          <w:rFonts w:cs="Arial"/>
          <w:sz w:val="22"/>
          <w:szCs w:val="22"/>
        </w:rPr>
        <w:t>Public</w:t>
      </w:r>
      <w:r w:rsidR="00465AF6" w:rsidRPr="009A414F">
        <w:rPr>
          <w:rFonts w:cs="Arial"/>
          <w:sz w:val="22"/>
          <w:szCs w:val="22"/>
        </w:rPr>
        <w:t xml:space="preserve"> relations firms, namely Global Interface; Grounded Media, Zen One and Edelman.</w:t>
      </w:r>
    </w:p>
    <w:p w:rsidR="00465AF6" w:rsidRDefault="00465AF6" w:rsidP="00465AF6">
      <w:pPr>
        <w:spacing w:line="360" w:lineRule="auto"/>
        <w:jc w:val="both"/>
        <w:rPr>
          <w:rFonts w:cs="Arial"/>
          <w:sz w:val="22"/>
          <w:szCs w:val="22"/>
        </w:rPr>
      </w:pPr>
      <w:r w:rsidRPr="002C436C">
        <w:rPr>
          <w:rFonts w:cs="Arial"/>
          <w:b/>
          <w:sz w:val="22"/>
          <w:szCs w:val="22"/>
        </w:rPr>
        <w:t>(b)(ii)(aa)</w:t>
      </w:r>
      <w:r>
        <w:rPr>
          <w:rFonts w:cs="Arial"/>
          <w:b/>
          <w:sz w:val="22"/>
          <w:szCs w:val="22"/>
        </w:rPr>
        <w:t xml:space="preserve">  </w:t>
      </w:r>
      <w:r>
        <w:rPr>
          <w:rFonts w:cs="Arial"/>
          <w:sz w:val="22"/>
          <w:szCs w:val="22"/>
        </w:rPr>
        <w:t xml:space="preserve">The services procured from </w:t>
      </w:r>
      <w:r w:rsidRPr="00A036B6">
        <w:rPr>
          <w:rFonts w:cs="Arial"/>
          <w:b/>
          <w:sz w:val="22"/>
          <w:szCs w:val="22"/>
        </w:rPr>
        <w:t>Global Interface</w:t>
      </w:r>
      <w:r>
        <w:rPr>
          <w:rFonts w:cs="Arial"/>
          <w:sz w:val="22"/>
          <w:szCs w:val="22"/>
        </w:rPr>
        <w:t xml:space="preserve"> for each of the three campaigns </w:t>
      </w:r>
    </w:p>
    <w:p w:rsidR="00465AF6" w:rsidRDefault="00465AF6" w:rsidP="00465AF6">
      <w:pPr>
        <w:spacing w:line="360" w:lineRule="auto"/>
        <w:ind w:left="1134" w:hanging="141"/>
        <w:jc w:val="both"/>
        <w:rPr>
          <w:rFonts w:cs="Arial"/>
          <w:sz w:val="22"/>
          <w:szCs w:val="22"/>
        </w:rPr>
      </w:pPr>
      <w:r>
        <w:rPr>
          <w:rFonts w:cs="Arial"/>
          <w:sz w:val="22"/>
          <w:szCs w:val="22"/>
        </w:rPr>
        <w:tab/>
        <w:t>were:</w:t>
      </w:r>
    </w:p>
    <w:p w:rsidR="00465AF6" w:rsidRPr="002C436C" w:rsidRDefault="00465AF6" w:rsidP="00465AF6">
      <w:pPr>
        <w:pStyle w:val="ListParagraph"/>
        <w:numPr>
          <w:ilvl w:val="0"/>
          <w:numId w:val="24"/>
        </w:numPr>
        <w:contextualSpacing/>
        <w:rPr>
          <w:rFonts w:ascii="Arial" w:hAnsi="Arial" w:cs="Arial"/>
          <w:sz w:val="22"/>
          <w:szCs w:val="22"/>
          <w:lang w:val="en-US"/>
        </w:rPr>
      </w:pPr>
      <w:r w:rsidRPr="002C436C">
        <w:rPr>
          <w:rFonts w:ascii="Arial" w:hAnsi="Arial" w:cs="Arial"/>
          <w:sz w:val="22"/>
          <w:szCs w:val="22"/>
          <w:lang w:val="en-US"/>
        </w:rPr>
        <w:t xml:space="preserve">Account management, </w:t>
      </w:r>
    </w:p>
    <w:p w:rsidR="00465AF6" w:rsidRPr="002C436C" w:rsidRDefault="00465AF6" w:rsidP="00465AF6">
      <w:pPr>
        <w:pStyle w:val="ListParagraph"/>
        <w:numPr>
          <w:ilvl w:val="0"/>
          <w:numId w:val="24"/>
        </w:numPr>
        <w:contextualSpacing/>
        <w:rPr>
          <w:rFonts w:ascii="Arial" w:hAnsi="Arial" w:cs="Arial"/>
          <w:sz w:val="22"/>
          <w:szCs w:val="22"/>
          <w:lang w:val="en-US"/>
        </w:rPr>
      </w:pPr>
      <w:r w:rsidRPr="002C436C">
        <w:rPr>
          <w:rFonts w:ascii="Arial" w:hAnsi="Arial" w:cs="Arial"/>
          <w:sz w:val="22"/>
          <w:szCs w:val="22"/>
          <w:lang w:val="en-US"/>
        </w:rPr>
        <w:t xml:space="preserve">PR strategy, </w:t>
      </w:r>
    </w:p>
    <w:p w:rsidR="00465AF6" w:rsidRPr="002C436C" w:rsidRDefault="00465AF6" w:rsidP="00465AF6">
      <w:pPr>
        <w:pStyle w:val="ListParagraph"/>
        <w:numPr>
          <w:ilvl w:val="0"/>
          <w:numId w:val="24"/>
        </w:numPr>
        <w:contextualSpacing/>
        <w:rPr>
          <w:rFonts w:ascii="Arial" w:hAnsi="Arial" w:cs="Arial"/>
          <w:sz w:val="22"/>
          <w:szCs w:val="22"/>
          <w:lang w:val="en-US"/>
        </w:rPr>
      </w:pPr>
      <w:r w:rsidRPr="002C436C">
        <w:rPr>
          <w:rFonts w:ascii="Arial" w:hAnsi="Arial" w:cs="Arial"/>
          <w:sz w:val="22"/>
          <w:szCs w:val="22"/>
          <w:lang w:val="en-US"/>
        </w:rPr>
        <w:t xml:space="preserve">Media Relations, </w:t>
      </w:r>
    </w:p>
    <w:p w:rsidR="00465AF6" w:rsidRPr="002C436C" w:rsidRDefault="00465AF6" w:rsidP="00465AF6">
      <w:pPr>
        <w:pStyle w:val="ListParagraph"/>
        <w:numPr>
          <w:ilvl w:val="0"/>
          <w:numId w:val="24"/>
        </w:numPr>
        <w:contextualSpacing/>
        <w:rPr>
          <w:rFonts w:ascii="Arial" w:hAnsi="Arial" w:cs="Arial"/>
          <w:sz w:val="22"/>
          <w:szCs w:val="22"/>
          <w:lang w:val="en-US"/>
        </w:rPr>
      </w:pPr>
      <w:r w:rsidRPr="002C436C">
        <w:rPr>
          <w:rFonts w:ascii="Arial" w:hAnsi="Arial" w:cs="Arial"/>
          <w:sz w:val="22"/>
          <w:szCs w:val="22"/>
          <w:lang w:val="en-US"/>
        </w:rPr>
        <w:t xml:space="preserve">PR collateral/ content development, </w:t>
      </w:r>
    </w:p>
    <w:p w:rsidR="00465AF6" w:rsidRPr="002C436C" w:rsidRDefault="00465AF6" w:rsidP="00465AF6">
      <w:pPr>
        <w:pStyle w:val="ListParagraph"/>
        <w:numPr>
          <w:ilvl w:val="0"/>
          <w:numId w:val="24"/>
        </w:numPr>
        <w:contextualSpacing/>
        <w:rPr>
          <w:rFonts w:ascii="Arial" w:hAnsi="Arial" w:cs="Arial"/>
          <w:sz w:val="22"/>
          <w:szCs w:val="22"/>
          <w:lang w:val="en-US"/>
        </w:rPr>
      </w:pPr>
      <w:r w:rsidRPr="002C436C">
        <w:rPr>
          <w:rFonts w:ascii="Arial" w:hAnsi="Arial" w:cs="Arial"/>
          <w:sz w:val="22"/>
          <w:szCs w:val="22"/>
          <w:lang w:val="en-US"/>
        </w:rPr>
        <w:t xml:space="preserve">Social and web based PR, </w:t>
      </w:r>
    </w:p>
    <w:p w:rsidR="00465AF6" w:rsidRPr="002C436C" w:rsidRDefault="00465AF6" w:rsidP="00465AF6">
      <w:pPr>
        <w:pStyle w:val="ListParagraph"/>
        <w:numPr>
          <w:ilvl w:val="0"/>
          <w:numId w:val="24"/>
        </w:numPr>
        <w:contextualSpacing/>
        <w:rPr>
          <w:rFonts w:ascii="Arial" w:hAnsi="Arial" w:cs="Arial"/>
          <w:sz w:val="22"/>
          <w:szCs w:val="22"/>
          <w:lang w:val="en-US"/>
        </w:rPr>
      </w:pPr>
      <w:r w:rsidRPr="002C436C">
        <w:rPr>
          <w:rFonts w:ascii="Arial" w:hAnsi="Arial" w:cs="Arial"/>
          <w:sz w:val="22"/>
          <w:szCs w:val="22"/>
          <w:lang w:val="en-US"/>
        </w:rPr>
        <w:t>Activations and experimental campaigns.</w:t>
      </w:r>
    </w:p>
    <w:p w:rsidR="00465AF6" w:rsidRDefault="00465AF6" w:rsidP="00465AF6">
      <w:pPr>
        <w:spacing w:line="360" w:lineRule="auto"/>
        <w:jc w:val="both"/>
        <w:rPr>
          <w:rFonts w:cs="Arial"/>
          <w:sz w:val="22"/>
          <w:szCs w:val="22"/>
        </w:rPr>
      </w:pPr>
    </w:p>
    <w:p w:rsidR="00465AF6" w:rsidRDefault="00465AF6" w:rsidP="00465AF6">
      <w:pPr>
        <w:spacing w:line="360" w:lineRule="auto"/>
        <w:jc w:val="both"/>
        <w:rPr>
          <w:rFonts w:cs="Arial"/>
          <w:sz w:val="22"/>
          <w:szCs w:val="22"/>
        </w:rPr>
      </w:pPr>
      <w:r>
        <w:rPr>
          <w:rFonts w:cs="Arial"/>
          <w:sz w:val="22"/>
          <w:szCs w:val="22"/>
        </w:rPr>
        <w:t xml:space="preserve">The services procured from </w:t>
      </w:r>
      <w:r w:rsidRPr="00A036B6">
        <w:rPr>
          <w:rFonts w:cs="Arial"/>
          <w:b/>
          <w:sz w:val="22"/>
          <w:szCs w:val="22"/>
        </w:rPr>
        <w:t>Grounded Media</w:t>
      </w:r>
      <w:r>
        <w:rPr>
          <w:rFonts w:cs="Arial"/>
          <w:sz w:val="22"/>
          <w:szCs w:val="22"/>
        </w:rPr>
        <w:t xml:space="preserve"> for each of the three campaigns were:</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Account management, </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PR strategy, Media Relations, </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PR </w:t>
      </w:r>
      <w:r>
        <w:rPr>
          <w:rFonts w:ascii="Arial" w:hAnsi="Arial" w:cs="Arial"/>
          <w:sz w:val="22"/>
          <w:szCs w:val="22"/>
          <w:lang w:val="en-US"/>
        </w:rPr>
        <w:t xml:space="preserve">collateral </w:t>
      </w:r>
      <w:r w:rsidRPr="00FE6548">
        <w:rPr>
          <w:rFonts w:ascii="Arial" w:hAnsi="Arial" w:cs="Arial"/>
          <w:sz w:val="22"/>
          <w:szCs w:val="22"/>
          <w:lang w:val="en-US"/>
        </w:rPr>
        <w:t xml:space="preserve">/ content development, </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Social and web based PR, </w:t>
      </w:r>
    </w:p>
    <w:p w:rsidR="00465AF6" w:rsidRPr="00FE6548"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Activations and experimental campaigns.</w:t>
      </w:r>
    </w:p>
    <w:p w:rsidR="00465AF6" w:rsidRDefault="00465AF6" w:rsidP="00465AF6">
      <w:pPr>
        <w:spacing w:line="360" w:lineRule="auto"/>
        <w:jc w:val="both"/>
        <w:rPr>
          <w:rFonts w:cs="Arial"/>
          <w:sz w:val="22"/>
          <w:szCs w:val="22"/>
        </w:rPr>
      </w:pPr>
    </w:p>
    <w:p w:rsidR="00465AF6" w:rsidRDefault="00465AF6" w:rsidP="00465AF6">
      <w:pPr>
        <w:spacing w:line="360" w:lineRule="auto"/>
        <w:jc w:val="both"/>
        <w:rPr>
          <w:rFonts w:cs="Arial"/>
          <w:sz w:val="22"/>
          <w:szCs w:val="22"/>
        </w:rPr>
      </w:pPr>
      <w:r>
        <w:rPr>
          <w:rFonts w:cs="Arial"/>
          <w:sz w:val="22"/>
          <w:szCs w:val="22"/>
        </w:rPr>
        <w:t xml:space="preserve">The services procured from </w:t>
      </w:r>
      <w:r w:rsidRPr="00A036B6">
        <w:rPr>
          <w:rFonts w:cs="Arial"/>
          <w:b/>
          <w:sz w:val="22"/>
          <w:szCs w:val="22"/>
        </w:rPr>
        <w:t>Zen One</w:t>
      </w:r>
      <w:r>
        <w:rPr>
          <w:rFonts w:cs="Arial"/>
          <w:sz w:val="22"/>
          <w:szCs w:val="22"/>
        </w:rPr>
        <w:t xml:space="preserve"> for one campaign was:</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Account management, </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PR strategy, Media Relations, </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PR </w:t>
      </w:r>
      <w:r>
        <w:rPr>
          <w:rFonts w:ascii="Arial" w:hAnsi="Arial" w:cs="Arial"/>
          <w:sz w:val="22"/>
          <w:szCs w:val="22"/>
          <w:lang w:val="en-US"/>
        </w:rPr>
        <w:t xml:space="preserve">collateral </w:t>
      </w:r>
      <w:r w:rsidRPr="00FE6548">
        <w:rPr>
          <w:rFonts w:ascii="Arial" w:hAnsi="Arial" w:cs="Arial"/>
          <w:sz w:val="22"/>
          <w:szCs w:val="22"/>
          <w:lang w:val="en-US"/>
        </w:rPr>
        <w:t xml:space="preserve">/ content development, </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 xml:space="preserve">Social and web based PR, </w:t>
      </w:r>
    </w:p>
    <w:p w:rsidR="00465AF6" w:rsidRDefault="00465AF6" w:rsidP="00465AF6">
      <w:pPr>
        <w:pStyle w:val="ListParagraph"/>
        <w:numPr>
          <w:ilvl w:val="0"/>
          <w:numId w:val="25"/>
        </w:numPr>
        <w:contextualSpacing/>
        <w:rPr>
          <w:rFonts w:ascii="Arial" w:hAnsi="Arial" w:cs="Arial"/>
          <w:sz w:val="22"/>
          <w:szCs w:val="22"/>
          <w:lang w:val="en-US"/>
        </w:rPr>
      </w:pPr>
      <w:r w:rsidRPr="00FE6548">
        <w:rPr>
          <w:rFonts w:ascii="Arial" w:hAnsi="Arial" w:cs="Arial"/>
          <w:sz w:val="22"/>
          <w:szCs w:val="22"/>
          <w:lang w:val="en-US"/>
        </w:rPr>
        <w:t>Activations and experimental campaigns.</w:t>
      </w:r>
    </w:p>
    <w:p w:rsidR="00465AF6" w:rsidRPr="00FE6548" w:rsidRDefault="00465AF6" w:rsidP="00465AF6">
      <w:pPr>
        <w:pStyle w:val="ListParagraph"/>
        <w:rPr>
          <w:rFonts w:ascii="Arial" w:hAnsi="Arial" w:cs="Arial"/>
          <w:sz w:val="22"/>
          <w:szCs w:val="22"/>
          <w:lang w:val="en-US"/>
        </w:rPr>
      </w:pPr>
    </w:p>
    <w:p w:rsidR="00465AF6" w:rsidRDefault="00465AF6" w:rsidP="00465AF6">
      <w:pPr>
        <w:spacing w:line="360" w:lineRule="auto"/>
        <w:jc w:val="both"/>
        <w:rPr>
          <w:rFonts w:cs="Arial"/>
          <w:sz w:val="22"/>
          <w:szCs w:val="22"/>
        </w:rPr>
      </w:pPr>
      <w:r>
        <w:rPr>
          <w:rFonts w:cs="Arial"/>
          <w:sz w:val="22"/>
          <w:szCs w:val="22"/>
        </w:rPr>
        <w:t xml:space="preserve">The services procured from </w:t>
      </w:r>
      <w:r w:rsidRPr="00A036B6">
        <w:rPr>
          <w:rFonts w:cs="Arial"/>
          <w:b/>
          <w:sz w:val="22"/>
          <w:szCs w:val="22"/>
        </w:rPr>
        <w:t>Edelman</w:t>
      </w:r>
      <w:r>
        <w:rPr>
          <w:rFonts w:cs="Arial"/>
          <w:sz w:val="22"/>
          <w:szCs w:val="22"/>
        </w:rPr>
        <w:t xml:space="preserve"> were:</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Account management,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PR strategy,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Media Relations,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PR collateral / content development,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Social and web based PR,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Activations and experimental campaigns,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Reputation Management,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Stakeholder Management,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Issues/crisis management,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Media training,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 xml:space="preserve">Strategic council and advice to board and EXCO, </w:t>
      </w:r>
    </w:p>
    <w:p w:rsidR="00465AF6" w:rsidRPr="00FE6548" w:rsidRDefault="00465AF6" w:rsidP="00465AF6">
      <w:pPr>
        <w:pStyle w:val="ListParagraph"/>
        <w:numPr>
          <w:ilvl w:val="0"/>
          <w:numId w:val="26"/>
        </w:numPr>
        <w:contextualSpacing/>
        <w:rPr>
          <w:rFonts w:ascii="Arial" w:hAnsi="Arial" w:cs="Arial"/>
          <w:sz w:val="22"/>
          <w:szCs w:val="22"/>
          <w:lang w:val="en-US"/>
        </w:rPr>
      </w:pPr>
      <w:r w:rsidRPr="00FE6548">
        <w:rPr>
          <w:rFonts w:ascii="Arial" w:hAnsi="Arial" w:cs="Arial"/>
          <w:color w:val="000000"/>
          <w:sz w:val="22"/>
          <w:szCs w:val="22"/>
        </w:rPr>
        <w:t>Investor relations</w:t>
      </w:r>
    </w:p>
    <w:p w:rsidR="00465AF6" w:rsidRDefault="00465AF6" w:rsidP="00465AF6">
      <w:pPr>
        <w:spacing w:line="360" w:lineRule="auto"/>
        <w:jc w:val="both"/>
        <w:rPr>
          <w:rFonts w:cs="Arial"/>
          <w:b/>
          <w:sz w:val="22"/>
          <w:szCs w:val="22"/>
        </w:rPr>
      </w:pPr>
    </w:p>
    <w:p w:rsidR="00465AF6" w:rsidRPr="00FA07D2" w:rsidRDefault="00465AF6" w:rsidP="00465AF6">
      <w:pPr>
        <w:spacing w:line="360" w:lineRule="auto"/>
        <w:jc w:val="both"/>
        <w:rPr>
          <w:rFonts w:cs="Arial"/>
          <w:b/>
          <w:sz w:val="22"/>
          <w:szCs w:val="22"/>
        </w:rPr>
      </w:pPr>
      <w:r>
        <w:rPr>
          <w:rFonts w:cs="Arial"/>
          <w:b/>
          <w:sz w:val="22"/>
          <w:szCs w:val="22"/>
        </w:rPr>
        <w:t>(b)(ii)</w:t>
      </w:r>
      <w:r w:rsidRPr="00FA07D2">
        <w:rPr>
          <w:rFonts w:cs="Arial"/>
          <w:b/>
          <w:sz w:val="22"/>
          <w:szCs w:val="22"/>
        </w:rPr>
        <w:t>(bb)</w:t>
      </w:r>
    </w:p>
    <w:p w:rsidR="00465AF6" w:rsidRDefault="00465AF6" w:rsidP="00465AF6">
      <w:pPr>
        <w:spacing w:line="360" w:lineRule="auto"/>
        <w:jc w:val="both"/>
        <w:rPr>
          <w:rFonts w:cs="Arial"/>
          <w:sz w:val="22"/>
          <w:szCs w:val="22"/>
        </w:rPr>
      </w:pPr>
      <w:r>
        <w:rPr>
          <w:rFonts w:cs="Arial"/>
          <w:sz w:val="22"/>
          <w:szCs w:val="22"/>
        </w:rPr>
        <w:t>The table below shows total</w:t>
      </w:r>
      <w:r w:rsidRPr="00F25D2C">
        <w:rPr>
          <w:rFonts w:cs="Arial"/>
          <w:sz w:val="22"/>
          <w:szCs w:val="22"/>
        </w:rPr>
        <w:t xml:space="preserve"> budgeted</w:t>
      </w:r>
      <w:r>
        <w:rPr>
          <w:rFonts w:cs="Arial"/>
          <w:sz w:val="22"/>
          <w:szCs w:val="22"/>
        </w:rPr>
        <w:t xml:space="preserve"> costs per public relation firm for financial year 2016/2017:</w:t>
      </w:r>
    </w:p>
    <w:tbl>
      <w:tblPr>
        <w:tblpPr w:leftFromText="180" w:rightFromText="180" w:vertAnchor="text" w:horzAnchor="margin" w:tblpXSpec="center" w:tblpY="170"/>
        <w:tblW w:w="9303" w:type="dxa"/>
        <w:tblLook w:val="04A0" w:firstRow="1" w:lastRow="0" w:firstColumn="1" w:lastColumn="0" w:noHBand="0" w:noVBand="1"/>
      </w:tblPr>
      <w:tblGrid>
        <w:gridCol w:w="2319"/>
        <w:gridCol w:w="2551"/>
        <w:gridCol w:w="2420"/>
        <w:gridCol w:w="2013"/>
      </w:tblGrid>
      <w:tr w:rsidR="00465AF6" w:rsidRPr="00FA07D2" w:rsidTr="000D6ACB">
        <w:trPr>
          <w:trHeight w:val="375"/>
        </w:trPr>
        <w:tc>
          <w:tcPr>
            <w:tcW w:w="23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5AF6" w:rsidRPr="00FA07D2" w:rsidRDefault="00465AF6" w:rsidP="000D6ACB">
            <w:pPr>
              <w:rPr>
                <w:rFonts w:cs="Arial"/>
                <w:b/>
                <w:bCs/>
                <w:sz w:val="22"/>
                <w:szCs w:val="22"/>
              </w:rPr>
            </w:pPr>
            <w:r w:rsidRPr="00FA07D2">
              <w:rPr>
                <w:rFonts w:cs="Arial"/>
                <w:b/>
                <w:bCs/>
                <w:sz w:val="22"/>
                <w:szCs w:val="22"/>
              </w:rPr>
              <w:t>Global Interface</w:t>
            </w:r>
          </w:p>
        </w:tc>
        <w:tc>
          <w:tcPr>
            <w:tcW w:w="2551" w:type="dxa"/>
            <w:tcBorders>
              <w:top w:val="single" w:sz="4" w:space="0" w:color="auto"/>
              <w:left w:val="nil"/>
              <w:bottom w:val="single" w:sz="4" w:space="0" w:color="auto"/>
              <w:right w:val="single" w:sz="4" w:space="0" w:color="auto"/>
            </w:tcBorders>
            <w:shd w:val="clear" w:color="000000" w:fill="D9D9D9"/>
            <w:noWrap/>
            <w:vAlign w:val="bottom"/>
            <w:hideMark/>
          </w:tcPr>
          <w:p w:rsidR="00465AF6" w:rsidRPr="00FA07D2" w:rsidRDefault="00465AF6" w:rsidP="000D6ACB">
            <w:pPr>
              <w:rPr>
                <w:rFonts w:cs="Arial"/>
                <w:b/>
                <w:bCs/>
                <w:sz w:val="22"/>
                <w:szCs w:val="22"/>
              </w:rPr>
            </w:pPr>
            <w:r w:rsidRPr="00FA07D2">
              <w:rPr>
                <w:rFonts w:cs="Arial"/>
                <w:b/>
                <w:bCs/>
                <w:sz w:val="22"/>
                <w:szCs w:val="22"/>
              </w:rPr>
              <w:t>Grounded Media</w:t>
            </w:r>
          </w:p>
        </w:tc>
        <w:tc>
          <w:tcPr>
            <w:tcW w:w="2420" w:type="dxa"/>
            <w:tcBorders>
              <w:top w:val="single" w:sz="4" w:space="0" w:color="auto"/>
              <w:left w:val="nil"/>
              <w:bottom w:val="single" w:sz="4" w:space="0" w:color="auto"/>
              <w:right w:val="single" w:sz="4" w:space="0" w:color="auto"/>
            </w:tcBorders>
            <w:shd w:val="clear" w:color="000000" w:fill="D9D9D9"/>
            <w:noWrap/>
            <w:vAlign w:val="bottom"/>
            <w:hideMark/>
          </w:tcPr>
          <w:p w:rsidR="00465AF6" w:rsidRPr="00FA07D2" w:rsidRDefault="00465AF6" w:rsidP="000D6ACB">
            <w:pPr>
              <w:rPr>
                <w:rFonts w:cs="Arial"/>
                <w:b/>
                <w:bCs/>
                <w:sz w:val="22"/>
                <w:szCs w:val="22"/>
              </w:rPr>
            </w:pPr>
            <w:r w:rsidRPr="00FA07D2">
              <w:rPr>
                <w:rFonts w:cs="Arial"/>
                <w:b/>
                <w:bCs/>
                <w:sz w:val="22"/>
                <w:szCs w:val="22"/>
              </w:rPr>
              <w:t>Zen One</w:t>
            </w:r>
          </w:p>
        </w:tc>
        <w:tc>
          <w:tcPr>
            <w:tcW w:w="2013" w:type="dxa"/>
            <w:tcBorders>
              <w:top w:val="single" w:sz="4" w:space="0" w:color="auto"/>
              <w:left w:val="nil"/>
              <w:bottom w:val="single" w:sz="4" w:space="0" w:color="auto"/>
              <w:right w:val="single" w:sz="4" w:space="0" w:color="auto"/>
            </w:tcBorders>
            <w:shd w:val="clear" w:color="000000" w:fill="D9D9D9"/>
            <w:noWrap/>
            <w:vAlign w:val="bottom"/>
            <w:hideMark/>
          </w:tcPr>
          <w:p w:rsidR="00465AF6" w:rsidRPr="00FA07D2" w:rsidRDefault="00465AF6" w:rsidP="000D6ACB">
            <w:pPr>
              <w:rPr>
                <w:rFonts w:cs="Arial"/>
                <w:b/>
                <w:bCs/>
                <w:sz w:val="22"/>
                <w:szCs w:val="22"/>
              </w:rPr>
            </w:pPr>
            <w:r w:rsidRPr="00FA07D2">
              <w:rPr>
                <w:rFonts w:cs="Arial"/>
                <w:b/>
                <w:bCs/>
                <w:sz w:val="22"/>
                <w:szCs w:val="22"/>
              </w:rPr>
              <w:t>Edelman</w:t>
            </w:r>
          </w:p>
        </w:tc>
      </w:tr>
      <w:tr w:rsidR="00465AF6" w:rsidRPr="00FA07D2" w:rsidTr="000D6ACB">
        <w:trPr>
          <w:trHeight w:val="57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AF6" w:rsidRPr="00FA07D2" w:rsidRDefault="00465AF6" w:rsidP="000D6ACB">
            <w:pPr>
              <w:jc w:val="center"/>
              <w:rPr>
                <w:rFonts w:cs="Arial"/>
                <w:bCs/>
                <w:sz w:val="22"/>
                <w:szCs w:val="22"/>
              </w:rPr>
            </w:pPr>
            <w:r w:rsidRPr="00FA07D2">
              <w:rPr>
                <w:rFonts w:cs="Arial"/>
                <w:bCs/>
                <w:sz w:val="22"/>
                <w:szCs w:val="22"/>
              </w:rPr>
              <w:t>R 24 583 753.67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65AF6" w:rsidRPr="00FA07D2" w:rsidRDefault="00465AF6" w:rsidP="000D6ACB">
            <w:pPr>
              <w:jc w:val="center"/>
              <w:rPr>
                <w:rFonts w:cs="Arial"/>
                <w:bCs/>
                <w:sz w:val="22"/>
                <w:szCs w:val="22"/>
              </w:rPr>
            </w:pPr>
            <w:r w:rsidRPr="00FA07D2">
              <w:rPr>
                <w:rFonts w:cs="Arial"/>
                <w:bCs/>
                <w:sz w:val="22"/>
                <w:szCs w:val="22"/>
              </w:rPr>
              <w:t>R 18 103 032.45</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465AF6" w:rsidRPr="00FA07D2" w:rsidRDefault="00465AF6" w:rsidP="000D6ACB">
            <w:pPr>
              <w:jc w:val="center"/>
              <w:rPr>
                <w:rFonts w:cs="Arial"/>
                <w:bCs/>
                <w:sz w:val="22"/>
                <w:szCs w:val="22"/>
              </w:rPr>
            </w:pPr>
            <w:r w:rsidRPr="00FA07D2">
              <w:rPr>
                <w:rFonts w:cs="Arial"/>
                <w:bCs/>
                <w:sz w:val="22"/>
                <w:szCs w:val="22"/>
              </w:rPr>
              <w:t>R 8 256 412.91</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465AF6" w:rsidRPr="00FA07D2" w:rsidRDefault="00465AF6" w:rsidP="000D6ACB">
            <w:pPr>
              <w:jc w:val="center"/>
              <w:rPr>
                <w:rFonts w:cs="Arial"/>
                <w:bCs/>
                <w:sz w:val="22"/>
                <w:szCs w:val="22"/>
              </w:rPr>
            </w:pPr>
            <w:r w:rsidRPr="00FA07D2">
              <w:rPr>
                <w:rFonts w:cs="Arial"/>
                <w:bCs/>
                <w:sz w:val="22"/>
                <w:szCs w:val="22"/>
              </w:rPr>
              <w:t>R 82 992.00</w:t>
            </w:r>
          </w:p>
        </w:tc>
      </w:tr>
    </w:tbl>
    <w:p w:rsidR="00465AF6" w:rsidRDefault="00465AF6" w:rsidP="00465AF6">
      <w:pPr>
        <w:spacing w:line="360" w:lineRule="auto"/>
        <w:jc w:val="both"/>
        <w:rPr>
          <w:rFonts w:cs="Arial"/>
          <w:b/>
          <w:sz w:val="22"/>
          <w:szCs w:val="22"/>
        </w:rPr>
      </w:pPr>
    </w:p>
    <w:p w:rsidR="00465AF6" w:rsidRPr="00FA07D2" w:rsidRDefault="00465AF6" w:rsidP="00465AF6">
      <w:pPr>
        <w:spacing w:line="360" w:lineRule="auto"/>
        <w:jc w:val="both"/>
        <w:rPr>
          <w:rFonts w:cs="Arial"/>
          <w:b/>
          <w:sz w:val="22"/>
          <w:szCs w:val="22"/>
        </w:rPr>
      </w:pPr>
      <w:r>
        <w:rPr>
          <w:rFonts w:cs="Arial"/>
          <w:b/>
          <w:sz w:val="22"/>
          <w:szCs w:val="22"/>
        </w:rPr>
        <w:t>(b)(ii)</w:t>
      </w:r>
      <w:r w:rsidRPr="00FA07D2">
        <w:rPr>
          <w:rFonts w:cs="Arial"/>
          <w:b/>
          <w:sz w:val="22"/>
          <w:szCs w:val="22"/>
        </w:rPr>
        <w:t>(cc)</w:t>
      </w:r>
    </w:p>
    <w:p w:rsidR="00465AF6" w:rsidRDefault="00465AF6" w:rsidP="00465AF6">
      <w:pPr>
        <w:spacing w:line="360" w:lineRule="auto"/>
        <w:jc w:val="both"/>
        <w:rPr>
          <w:rFonts w:cs="Arial"/>
          <w:sz w:val="22"/>
          <w:szCs w:val="22"/>
        </w:rPr>
      </w:pPr>
      <w:r>
        <w:rPr>
          <w:rFonts w:cs="Arial"/>
          <w:sz w:val="22"/>
          <w:szCs w:val="22"/>
        </w:rPr>
        <w:t>The detailed breakdown of costs per public relation firm per campaign for financial year 2016/2017:</w:t>
      </w:r>
    </w:p>
    <w:p w:rsidR="0087795A" w:rsidRDefault="0087795A" w:rsidP="00465AF6">
      <w:pPr>
        <w:spacing w:line="360" w:lineRule="auto"/>
        <w:jc w:val="both"/>
        <w:rPr>
          <w:rFonts w:cs="Arial"/>
          <w:sz w:val="22"/>
          <w:szCs w:val="22"/>
        </w:rPr>
      </w:pPr>
    </w:p>
    <w:p w:rsidR="0087795A" w:rsidRDefault="0087795A" w:rsidP="00465AF6">
      <w:pPr>
        <w:spacing w:line="360" w:lineRule="auto"/>
        <w:jc w:val="both"/>
        <w:rPr>
          <w:rFonts w:cs="Arial"/>
          <w:sz w:val="22"/>
          <w:szCs w:val="22"/>
        </w:rPr>
      </w:pPr>
    </w:p>
    <w:p w:rsidR="0087795A" w:rsidRDefault="0087795A" w:rsidP="00465AF6">
      <w:pPr>
        <w:spacing w:line="360" w:lineRule="auto"/>
        <w:jc w:val="both"/>
        <w:rPr>
          <w:rFonts w:cs="Arial"/>
          <w:sz w:val="22"/>
          <w:szCs w:val="22"/>
        </w:rPr>
      </w:pPr>
    </w:p>
    <w:p w:rsidR="00465AF6" w:rsidRPr="00376E34" w:rsidRDefault="00465AF6" w:rsidP="00465AF6">
      <w:pPr>
        <w:pStyle w:val="ListParagraph"/>
        <w:numPr>
          <w:ilvl w:val="0"/>
          <w:numId w:val="27"/>
        </w:numPr>
        <w:contextualSpacing/>
        <w:rPr>
          <w:rFonts w:ascii="Arial" w:hAnsi="Arial" w:cs="Arial"/>
          <w:sz w:val="22"/>
          <w:szCs w:val="22"/>
          <w:lang w:val="en-US"/>
        </w:rPr>
      </w:pPr>
      <w:r w:rsidRPr="00FA07D2">
        <w:rPr>
          <w:rFonts w:ascii="Arial" w:hAnsi="Arial" w:cs="Arial"/>
          <w:b/>
          <w:bCs/>
          <w:color w:val="000000"/>
          <w:sz w:val="22"/>
          <w:szCs w:val="22"/>
        </w:rPr>
        <w:t>Global Interface</w:t>
      </w:r>
    </w:p>
    <w:p w:rsidR="00465AF6" w:rsidRPr="00376E34" w:rsidRDefault="00465AF6" w:rsidP="00465AF6">
      <w:pPr>
        <w:pStyle w:val="ListParagraph"/>
        <w:numPr>
          <w:ilvl w:val="1"/>
          <w:numId w:val="27"/>
        </w:numPr>
        <w:contextualSpacing/>
        <w:rPr>
          <w:rFonts w:ascii="Arial" w:hAnsi="Arial" w:cs="Arial"/>
          <w:sz w:val="22"/>
          <w:szCs w:val="22"/>
          <w:lang w:val="en-US"/>
        </w:rPr>
      </w:pPr>
      <w:r>
        <w:rPr>
          <w:rFonts w:ascii="Arial" w:hAnsi="Arial" w:cs="Arial"/>
          <w:bCs/>
          <w:color w:val="000000"/>
          <w:sz w:val="22"/>
          <w:szCs w:val="22"/>
        </w:rPr>
        <w:t xml:space="preserve">Eskom Brand Campaign - </w:t>
      </w:r>
      <w:r w:rsidRPr="00376E34">
        <w:rPr>
          <w:rFonts w:ascii="Arial" w:hAnsi="Arial" w:cs="Arial"/>
          <w:bCs/>
          <w:color w:val="000000"/>
          <w:sz w:val="22"/>
          <w:szCs w:val="22"/>
        </w:rPr>
        <w:t>R7 081 402.27</w:t>
      </w:r>
    </w:p>
    <w:p w:rsidR="00465AF6" w:rsidRPr="00376E34" w:rsidRDefault="00465AF6" w:rsidP="00465AF6">
      <w:pPr>
        <w:pStyle w:val="ListParagraph"/>
        <w:numPr>
          <w:ilvl w:val="1"/>
          <w:numId w:val="27"/>
        </w:numPr>
        <w:contextualSpacing/>
        <w:rPr>
          <w:rFonts w:ascii="Arial" w:hAnsi="Arial" w:cs="Arial"/>
          <w:sz w:val="22"/>
          <w:szCs w:val="22"/>
          <w:lang w:val="en-US"/>
        </w:rPr>
      </w:pPr>
      <w:r>
        <w:rPr>
          <w:rFonts w:ascii="Arial" w:hAnsi="Arial" w:cs="Arial"/>
          <w:bCs/>
          <w:color w:val="000000"/>
          <w:sz w:val="22"/>
          <w:szCs w:val="22"/>
        </w:rPr>
        <w:t>Operation Khanyisa – R9 107 796.25</w:t>
      </w:r>
    </w:p>
    <w:p w:rsidR="00465AF6" w:rsidRPr="00376E34" w:rsidRDefault="00465AF6" w:rsidP="00465AF6">
      <w:pPr>
        <w:pStyle w:val="ListParagraph"/>
        <w:numPr>
          <w:ilvl w:val="1"/>
          <w:numId w:val="27"/>
        </w:numPr>
        <w:contextualSpacing/>
        <w:rPr>
          <w:rFonts w:ascii="Arial" w:hAnsi="Arial" w:cs="Arial"/>
          <w:sz w:val="22"/>
          <w:szCs w:val="22"/>
          <w:lang w:val="en-US"/>
        </w:rPr>
      </w:pPr>
      <w:r>
        <w:rPr>
          <w:rFonts w:ascii="Arial" w:hAnsi="Arial" w:cs="Arial"/>
          <w:bCs/>
          <w:color w:val="000000"/>
          <w:sz w:val="22"/>
          <w:szCs w:val="22"/>
        </w:rPr>
        <w:t>EOESLIP (Soweto, Midrand and Sandton smart split metering) – R8 394 555.15</w:t>
      </w:r>
    </w:p>
    <w:p w:rsidR="00465AF6" w:rsidRPr="00376E34" w:rsidRDefault="00465AF6" w:rsidP="00465AF6">
      <w:pPr>
        <w:pStyle w:val="ListParagraph"/>
        <w:numPr>
          <w:ilvl w:val="0"/>
          <w:numId w:val="27"/>
        </w:numPr>
        <w:contextualSpacing/>
        <w:rPr>
          <w:rFonts w:ascii="Arial" w:hAnsi="Arial" w:cs="Arial"/>
          <w:b/>
          <w:sz w:val="22"/>
          <w:szCs w:val="22"/>
          <w:lang w:val="en-US"/>
        </w:rPr>
      </w:pPr>
      <w:r w:rsidRPr="00376E34">
        <w:rPr>
          <w:rFonts w:ascii="Arial" w:hAnsi="Arial" w:cs="Arial"/>
          <w:b/>
          <w:bCs/>
          <w:color w:val="000000"/>
          <w:sz w:val="22"/>
          <w:szCs w:val="22"/>
        </w:rPr>
        <w:t>Grounded Media</w:t>
      </w:r>
    </w:p>
    <w:p w:rsidR="00465AF6" w:rsidRPr="00FA07D2" w:rsidRDefault="00465AF6" w:rsidP="00465AF6">
      <w:pPr>
        <w:pStyle w:val="ListParagraph"/>
        <w:numPr>
          <w:ilvl w:val="1"/>
          <w:numId w:val="27"/>
        </w:numPr>
        <w:contextualSpacing/>
        <w:jc w:val="left"/>
        <w:rPr>
          <w:rFonts w:ascii="Arial" w:hAnsi="Arial" w:cs="Arial"/>
          <w:color w:val="000000"/>
          <w:sz w:val="22"/>
          <w:szCs w:val="22"/>
        </w:rPr>
      </w:pPr>
      <w:r w:rsidRPr="00FA07D2">
        <w:rPr>
          <w:rFonts w:ascii="Arial" w:hAnsi="Arial" w:cs="Arial"/>
          <w:color w:val="000000"/>
          <w:sz w:val="22"/>
          <w:szCs w:val="22"/>
        </w:rPr>
        <w:t xml:space="preserve">Eskom Development  Foundation (CSI) </w:t>
      </w:r>
      <w:r>
        <w:rPr>
          <w:rFonts w:ascii="Arial" w:hAnsi="Arial" w:cs="Arial"/>
          <w:color w:val="000000"/>
          <w:sz w:val="22"/>
          <w:szCs w:val="22"/>
        </w:rPr>
        <w:t>– R12 422 887.37</w:t>
      </w:r>
    </w:p>
    <w:p w:rsidR="00465AF6" w:rsidRPr="00FA07D2" w:rsidRDefault="00465AF6" w:rsidP="00465AF6">
      <w:pPr>
        <w:pStyle w:val="ListParagraph"/>
        <w:numPr>
          <w:ilvl w:val="1"/>
          <w:numId w:val="27"/>
        </w:numPr>
        <w:contextualSpacing/>
        <w:jc w:val="left"/>
        <w:rPr>
          <w:rFonts w:ascii="Arial" w:hAnsi="Arial" w:cs="Arial"/>
          <w:color w:val="000000"/>
          <w:sz w:val="22"/>
          <w:szCs w:val="22"/>
        </w:rPr>
      </w:pPr>
      <w:r w:rsidRPr="00FA07D2">
        <w:rPr>
          <w:rFonts w:ascii="Arial" w:hAnsi="Arial" w:cs="Arial"/>
          <w:color w:val="000000"/>
          <w:sz w:val="22"/>
          <w:szCs w:val="22"/>
        </w:rPr>
        <w:t xml:space="preserve">Public Safety campaign </w:t>
      </w:r>
      <w:r>
        <w:rPr>
          <w:rFonts w:ascii="Arial" w:hAnsi="Arial" w:cs="Arial"/>
          <w:color w:val="000000"/>
          <w:sz w:val="22"/>
          <w:szCs w:val="22"/>
        </w:rPr>
        <w:t>– R2 913 701.08</w:t>
      </w:r>
    </w:p>
    <w:p w:rsidR="00465AF6" w:rsidRPr="00157795" w:rsidRDefault="00465AF6" w:rsidP="00465AF6">
      <w:pPr>
        <w:pStyle w:val="ListParagraph"/>
        <w:numPr>
          <w:ilvl w:val="1"/>
          <w:numId w:val="27"/>
        </w:numPr>
        <w:contextualSpacing/>
        <w:rPr>
          <w:rFonts w:ascii="Arial" w:hAnsi="Arial" w:cs="Arial"/>
          <w:sz w:val="22"/>
          <w:szCs w:val="22"/>
          <w:lang w:val="en-US"/>
        </w:rPr>
      </w:pPr>
      <w:r w:rsidRPr="00FA07D2">
        <w:rPr>
          <w:rFonts w:ascii="Arial" w:hAnsi="Arial" w:cs="Arial"/>
          <w:color w:val="000000"/>
          <w:sz w:val="22"/>
          <w:szCs w:val="22"/>
        </w:rPr>
        <w:t>All other campaigns</w:t>
      </w:r>
      <w:r>
        <w:rPr>
          <w:rFonts w:ascii="Arial" w:hAnsi="Arial" w:cs="Arial"/>
          <w:color w:val="000000"/>
          <w:sz w:val="22"/>
          <w:szCs w:val="22"/>
        </w:rPr>
        <w:t xml:space="preserve"> – R2 766 444.00</w:t>
      </w:r>
    </w:p>
    <w:p w:rsidR="00465AF6" w:rsidRDefault="00465AF6" w:rsidP="00465AF6">
      <w:pPr>
        <w:spacing w:line="360" w:lineRule="auto"/>
        <w:jc w:val="both"/>
        <w:rPr>
          <w:rFonts w:cs="Arial"/>
          <w:sz w:val="22"/>
          <w:szCs w:val="22"/>
        </w:rPr>
      </w:pPr>
    </w:p>
    <w:p w:rsidR="00465AF6" w:rsidRDefault="00465AF6" w:rsidP="00465AF6">
      <w:pPr>
        <w:spacing w:line="360" w:lineRule="auto"/>
        <w:jc w:val="both"/>
        <w:rPr>
          <w:rFonts w:cs="Arial"/>
          <w:sz w:val="22"/>
          <w:szCs w:val="22"/>
        </w:rPr>
      </w:pPr>
    </w:p>
    <w:p w:rsidR="00465AF6" w:rsidRPr="004502E0" w:rsidRDefault="00465AF6" w:rsidP="00465AF6">
      <w:pPr>
        <w:pStyle w:val="ListParagraph"/>
        <w:numPr>
          <w:ilvl w:val="0"/>
          <w:numId w:val="27"/>
        </w:numPr>
        <w:ind w:hanging="357"/>
        <w:contextualSpacing/>
        <w:rPr>
          <w:rFonts w:ascii="Arial" w:hAnsi="Arial" w:cs="Arial"/>
          <w:b/>
          <w:sz w:val="22"/>
          <w:szCs w:val="22"/>
          <w:lang w:val="en-US"/>
        </w:rPr>
      </w:pPr>
      <w:r w:rsidRPr="004502E0">
        <w:rPr>
          <w:rFonts w:ascii="Arial" w:hAnsi="Arial" w:cs="Arial"/>
          <w:b/>
          <w:color w:val="000000"/>
          <w:sz w:val="22"/>
          <w:szCs w:val="22"/>
        </w:rPr>
        <w:t>Zen One</w:t>
      </w:r>
    </w:p>
    <w:p w:rsidR="00465AF6" w:rsidRPr="00376E34" w:rsidRDefault="00465AF6" w:rsidP="00465AF6">
      <w:pPr>
        <w:pStyle w:val="ListParagraph"/>
        <w:numPr>
          <w:ilvl w:val="1"/>
          <w:numId w:val="27"/>
        </w:numPr>
        <w:contextualSpacing/>
        <w:rPr>
          <w:rFonts w:ascii="Arial" w:hAnsi="Arial" w:cs="Arial"/>
          <w:sz w:val="22"/>
          <w:szCs w:val="22"/>
          <w:lang w:val="en-US"/>
        </w:rPr>
      </w:pPr>
      <w:r>
        <w:rPr>
          <w:rFonts w:ascii="Arial" w:hAnsi="Arial" w:cs="Arial"/>
          <w:color w:val="000000"/>
          <w:sz w:val="22"/>
          <w:szCs w:val="22"/>
        </w:rPr>
        <w:t>Integrated Demand Management Campaign (including power alert) – R8 256 412.91</w:t>
      </w:r>
    </w:p>
    <w:p w:rsidR="00465AF6" w:rsidRPr="004502E0" w:rsidRDefault="00465AF6" w:rsidP="00465AF6">
      <w:pPr>
        <w:pStyle w:val="ListParagraph"/>
        <w:numPr>
          <w:ilvl w:val="0"/>
          <w:numId w:val="27"/>
        </w:numPr>
        <w:contextualSpacing/>
        <w:rPr>
          <w:rFonts w:ascii="Arial" w:hAnsi="Arial" w:cs="Arial"/>
          <w:b/>
          <w:sz w:val="22"/>
          <w:szCs w:val="22"/>
          <w:lang w:val="en-US"/>
        </w:rPr>
      </w:pPr>
      <w:r w:rsidRPr="004502E0">
        <w:rPr>
          <w:rFonts w:ascii="Arial" w:hAnsi="Arial" w:cs="Arial"/>
          <w:b/>
          <w:color w:val="000000"/>
          <w:sz w:val="22"/>
          <w:szCs w:val="22"/>
        </w:rPr>
        <w:t>Edelman</w:t>
      </w:r>
    </w:p>
    <w:p w:rsidR="00465AF6" w:rsidRPr="00376E34" w:rsidRDefault="00465AF6" w:rsidP="00465AF6">
      <w:pPr>
        <w:pStyle w:val="ListParagraph"/>
        <w:numPr>
          <w:ilvl w:val="1"/>
          <w:numId w:val="27"/>
        </w:numPr>
        <w:contextualSpacing/>
        <w:rPr>
          <w:rFonts w:ascii="Arial" w:hAnsi="Arial" w:cs="Arial"/>
          <w:sz w:val="22"/>
          <w:szCs w:val="22"/>
          <w:lang w:val="en-US"/>
        </w:rPr>
      </w:pPr>
      <w:r>
        <w:rPr>
          <w:rFonts w:ascii="Arial" w:hAnsi="Arial" w:cs="Arial"/>
          <w:color w:val="000000"/>
          <w:sz w:val="22"/>
          <w:szCs w:val="22"/>
        </w:rPr>
        <w:t>Speech writing – R82 992.00</w:t>
      </w:r>
    </w:p>
    <w:p w:rsidR="00465AF6" w:rsidRDefault="00465AF6" w:rsidP="00465AF6">
      <w:pPr>
        <w:spacing w:line="360" w:lineRule="auto"/>
        <w:jc w:val="both"/>
        <w:rPr>
          <w:rFonts w:cs="Arial"/>
          <w:sz w:val="22"/>
          <w:szCs w:val="22"/>
        </w:rPr>
      </w:pPr>
    </w:p>
    <w:p w:rsidR="00465AF6" w:rsidRPr="00FA07D2" w:rsidRDefault="00465AF6" w:rsidP="00465AF6">
      <w:pPr>
        <w:spacing w:line="360" w:lineRule="auto"/>
        <w:jc w:val="both"/>
        <w:rPr>
          <w:rFonts w:cs="Arial"/>
          <w:b/>
          <w:sz w:val="22"/>
          <w:szCs w:val="22"/>
        </w:rPr>
      </w:pPr>
      <w:r w:rsidRPr="00FA07D2">
        <w:rPr>
          <w:rFonts w:cs="Arial"/>
          <w:b/>
          <w:sz w:val="22"/>
          <w:szCs w:val="22"/>
        </w:rPr>
        <w:t>(dd)(ii)</w:t>
      </w:r>
    </w:p>
    <w:p w:rsidR="00465AF6" w:rsidRDefault="00465AF6" w:rsidP="00465AF6">
      <w:pPr>
        <w:spacing w:line="360" w:lineRule="auto"/>
        <w:jc w:val="both"/>
        <w:rPr>
          <w:rFonts w:cs="Arial"/>
          <w:sz w:val="22"/>
          <w:szCs w:val="22"/>
        </w:rPr>
      </w:pPr>
      <w:r w:rsidRPr="00FA07D2">
        <w:rPr>
          <w:rFonts w:cs="Arial"/>
          <w:sz w:val="22"/>
          <w:szCs w:val="22"/>
        </w:rPr>
        <w:t>The total amounts paid to each public relation firms is as per (bb) above.</w:t>
      </w:r>
    </w:p>
    <w:p w:rsidR="00465AF6" w:rsidRDefault="00465AF6" w:rsidP="00465AF6">
      <w:pPr>
        <w:spacing w:line="360" w:lineRule="auto"/>
        <w:jc w:val="both"/>
        <w:rPr>
          <w:rFonts w:cs="Arial"/>
          <w:sz w:val="22"/>
          <w:szCs w:val="22"/>
        </w:rPr>
      </w:pPr>
    </w:p>
    <w:p w:rsidR="00465AF6" w:rsidRPr="00FA07D2" w:rsidRDefault="00465AF6" w:rsidP="00465AF6">
      <w:pPr>
        <w:spacing w:line="360" w:lineRule="auto"/>
        <w:jc w:val="both"/>
        <w:rPr>
          <w:rFonts w:cs="Arial"/>
          <w:b/>
          <w:sz w:val="22"/>
          <w:szCs w:val="22"/>
        </w:rPr>
      </w:pPr>
      <w:r w:rsidRPr="00FA07D2">
        <w:rPr>
          <w:rFonts w:cs="Arial"/>
          <w:b/>
          <w:sz w:val="22"/>
          <w:szCs w:val="22"/>
        </w:rPr>
        <w:t>(ee)(ii)</w:t>
      </w:r>
    </w:p>
    <w:p w:rsidR="00465AF6" w:rsidRDefault="00465AF6" w:rsidP="00465AF6">
      <w:pPr>
        <w:spacing w:line="360" w:lineRule="auto"/>
        <w:jc w:val="both"/>
        <w:rPr>
          <w:rFonts w:cs="Arial"/>
          <w:sz w:val="22"/>
          <w:szCs w:val="22"/>
        </w:rPr>
      </w:pPr>
      <w:r w:rsidRPr="00FA07D2">
        <w:rPr>
          <w:rFonts w:cs="Arial"/>
          <w:sz w:val="22"/>
          <w:szCs w:val="22"/>
        </w:rPr>
        <w:t>The payments were processed in order to reimburse the agencies for the services rendered as described in (b)(ii)(aa)</w:t>
      </w:r>
      <w:r w:rsidRPr="002C436C">
        <w:rPr>
          <w:rFonts w:cs="Arial"/>
          <w:b/>
          <w:sz w:val="22"/>
          <w:szCs w:val="22"/>
        </w:rPr>
        <w:t xml:space="preserve"> </w:t>
      </w:r>
      <w:r w:rsidRPr="00FA07D2">
        <w:rPr>
          <w:rFonts w:cs="Arial"/>
          <w:sz w:val="22"/>
          <w:szCs w:val="22"/>
        </w:rPr>
        <w:t>above.</w:t>
      </w:r>
    </w:p>
    <w:p w:rsidR="00465AF6" w:rsidRDefault="00465AF6" w:rsidP="00465AF6">
      <w:pPr>
        <w:spacing w:line="360" w:lineRule="auto"/>
        <w:jc w:val="both"/>
        <w:rPr>
          <w:rFonts w:cs="Arial"/>
          <w:sz w:val="22"/>
          <w:szCs w:val="22"/>
        </w:rPr>
      </w:pPr>
    </w:p>
    <w:p w:rsidR="00465AF6" w:rsidRPr="00FA07D2" w:rsidRDefault="00465AF6" w:rsidP="00465AF6">
      <w:pPr>
        <w:spacing w:line="360" w:lineRule="auto"/>
        <w:jc w:val="both"/>
        <w:rPr>
          <w:rFonts w:cs="Arial"/>
          <w:b/>
          <w:sz w:val="22"/>
          <w:szCs w:val="22"/>
        </w:rPr>
      </w:pPr>
      <w:r w:rsidRPr="00FA07D2">
        <w:rPr>
          <w:rFonts w:cs="Arial"/>
          <w:b/>
          <w:sz w:val="22"/>
          <w:szCs w:val="22"/>
        </w:rPr>
        <w:t>(ff)(ii)</w:t>
      </w:r>
    </w:p>
    <w:p w:rsidR="00465AF6" w:rsidRPr="00FA07D2" w:rsidRDefault="00465AF6" w:rsidP="00465AF6">
      <w:pPr>
        <w:spacing w:line="360" w:lineRule="auto"/>
        <w:jc w:val="both"/>
        <w:rPr>
          <w:rFonts w:cs="Arial"/>
          <w:b/>
          <w:sz w:val="22"/>
          <w:szCs w:val="22"/>
        </w:rPr>
      </w:pPr>
      <w:r w:rsidRPr="00FA07D2">
        <w:rPr>
          <w:rFonts w:cs="Arial"/>
          <w:sz w:val="22"/>
          <w:szCs w:val="22"/>
        </w:rPr>
        <w:t xml:space="preserve">The breakdown of payments is as per </w:t>
      </w:r>
      <w:r>
        <w:rPr>
          <w:rFonts w:cs="Arial"/>
          <w:sz w:val="22"/>
          <w:szCs w:val="22"/>
        </w:rPr>
        <w:t>(b)(ii)</w:t>
      </w:r>
      <w:r w:rsidRPr="00FA07D2">
        <w:rPr>
          <w:rFonts w:cs="Arial"/>
          <w:sz w:val="22"/>
          <w:szCs w:val="22"/>
        </w:rPr>
        <w:t>(cc) above.</w:t>
      </w:r>
    </w:p>
    <w:p w:rsidR="00465AF6" w:rsidRDefault="00465AF6" w:rsidP="002109DE">
      <w:pPr>
        <w:pStyle w:val="ListParagraph"/>
        <w:spacing w:line="276" w:lineRule="auto"/>
        <w:ind w:left="850" w:right="329" w:hanging="850"/>
        <w:rPr>
          <w:rFonts w:ascii="Arial" w:hAnsi="Arial" w:cs="Arial"/>
          <w:b/>
          <w:color w:val="000000"/>
          <w:sz w:val="24"/>
          <w:szCs w:val="24"/>
        </w:rPr>
      </w:pPr>
    </w:p>
    <w:p w:rsidR="00465AF6" w:rsidRDefault="00465AF6" w:rsidP="002109DE">
      <w:pPr>
        <w:pStyle w:val="ListParagraph"/>
        <w:spacing w:line="276" w:lineRule="auto"/>
        <w:ind w:left="850" w:right="329" w:hanging="850"/>
        <w:rPr>
          <w:rFonts w:ascii="Arial" w:hAnsi="Arial" w:cs="Arial"/>
          <w:b/>
          <w:color w:val="000000"/>
          <w:sz w:val="24"/>
          <w:szCs w:val="24"/>
        </w:rPr>
      </w:pPr>
    </w:p>
    <w:p w:rsidR="002109DE" w:rsidRPr="002109DE" w:rsidRDefault="002109DE" w:rsidP="002109DE">
      <w:pPr>
        <w:pStyle w:val="ListParagraph"/>
        <w:spacing w:line="276" w:lineRule="auto"/>
        <w:ind w:left="850" w:right="329" w:hanging="850"/>
        <w:rPr>
          <w:rFonts w:ascii="Arial" w:hAnsi="Arial" w:cs="Arial"/>
          <w:b/>
          <w:color w:val="000000"/>
          <w:sz w:val="24"/>
          <w:szCs w:val="24"/>
        </w:rPr>
      </w:pPr>
      <w:r>
        <w:rPr>
          <w:rFonts w:ascii="Arial" w:hAnsi="Arial" w:cs="Arial"/>
          <w:b/>
          <w:color w:val="000000"/>
          <w:sz w:val="24"/>
          <w:szCs w:val="24"/>
        </w:rPr>
        <w:t xml:space="preserve">SAFCOL </w:t>
      </w:r>
      <w:r w:rsidRPr="002109DE">
        <w:rPr>
          <w:rFonts w:ascii="Arial" w:hAnsi="Arial" w:cs="Arial"/>
          <w:b/>
          <w:color w:val="000000"/>
          <w:sz w:val="24"/>
          <w:szCs w:val="24"/>
        </w:rPr>
        <w:t>SOC LIMITED:</w:t>
      </w:r>
    </w:p>
    <w:p w:rsidR="002109DE" w:rsidRDefault="002109DE" w:rsidP="002109DE">
      <w:pPr>
        <w:pStyle w:val="ListParagraph"/>
        <w:spacing w:line="276" w:lineRule="auto"/>
        <w:ind w:left="850" w:right="329" w:hanging="850"/>
        <w:rPr>
          <w:rFonts w:cs="Arial"/>
          <w:b/>
          <w:color w:val="000000"/>
          <w:sz w:val="24"/>
          <w:szCs w:val="24"/>
        </w:rPr>
      </w:pPr>
    </w:p>
    <w:tbl>
      <w:tblPr>
        <w:tblStyle w:val="TableGrid"/>
        <w:tblW w:w="83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1134"/>
        <w:gridCol w:w="992"/>
        <w:gridCol w:w="4514"/>
      </w:tblGrid>
      <w:tr w:rsidR="002109DE" w:rsidRPr="00C36032" w:rsidTr="008547C2">
        <w:tc>
          <w:tcPr>
            <w:tcW w:w="851" w:type="dxa"/>
          </w:tcPr>
          <w:p w:rsidR="002109DE" w:rsidRPr="00C36032" w:rsidRDefault="002109DE" w:rsidP="008547C2">
            <w:pPr>
              <w:pStyle w:val="ListParagraph"/>
              <w:tabs>
                <w:tab w:val="left" w:pos="459"/>
              </w:tabs>
              <w:spacing w:line="276" w:lineRule="auto"/>
              <w:ind w:left="0" w:right="329"/>
              <w:rPr>
                <w:rFonts w:ascii="Arial" w:hAnsi="Arial" w:cs="Arial"/>
                <w:color w:val="000000"/>
                <w:sz w:val="24"/>
                <w:szCs w:val="24"/>
              </w:rPr>
            </w:pPr>
            <w:r w:rsidRPr="00C36032">
              <w:rPr>
                <w:rFonts w:ascii="Arial" w:hAnsi="Arial" w:cs="Arial"/>
                <w:color w:val="000000"/>
                <w:sz w:val="24"/>
                <w:szCs w:val="24"/>
              </w:rPr>
              <w:t>(1)</w:t>
            </w: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w:t>
            </w:r>
          </w:p>
        </w:tc>
        <w:tc>
          <w:tcPr>
            <w:tcW w:w="6640" w:type="dxa"/>
            <w:gridSpan w:val="3"/>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w:t>
            </w:r>
          </w:p>
        </w:tc>
        <w:tc>
          <w:tcPr>
            <w:tcW w:w="6640" w:type="dxa"/>
            <w:gridSpan w:val="3"/>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w:t>
            </w:r>
          </w:p>
        </w:tc>
        <w:tc>
          <w:tcPr>
            <w:tcW w:w="5506" w:type="dxa"/>
            <w:gridSpan w:val="2"/>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(ii)</w:t>
            </w:r>
          </w:p>
        </w:tc>
        <w:tc>
          <w:tcPr>
            <w:tcW w:w="5506" w:type="dxa"/>
            <w:gridSpan w:val="2"/>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(aa)</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None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(bb)</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(cc)</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(dd)</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(ee)</w:t>
            </w:r>
          </w:p>
        </w:tc>
        <w:tc>
          <w:tcPr>
            <w:tcW w:w="4514"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2109DE" w:rsidRPr="00C36032" w:rsidTr="008547C2">
        <w:tc>
          <w:tcPr>
            <w:tcW w:w="851"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850"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1134" w:type="dxa"/>
          </w:tcPr>
          <w:p w:rsidR="002109DE" w:rsidRPr="00C36032" w:rsidRDefault="002109DE" w:rsidP="008547C2">
            <w:pPr>
              <w:pStyle w:val="ListParagraph"/>
              <w:spacing w:line="276" w:lineRule="auto"/>
              <w:ind w:left="0" w:right="329"/>
              <w:rPr>
                <w:rFonts w:ascii="Arial" w:hAnsi="Arial" w:cs="Arial"/>
                <w:color w:val="000000"/>
                <w:sz w:val="24"/>
                <w:szCs w:val="24"/>
              </w:rPr>
            </w:pPr>
          </w:p>
        </w:tc>
        <w:tc>
          <w:tcPr>
            <w:tcW w:w="992" w:type="dxa"/>
          </w:tcPr>
          <w:p w:rsidR="002109DE"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(ff)</w:t>
            </w:r>
          </w:p>
        </w:tc>
        <w:tc>
          <w:tcPr>
            <w:tcW w:w="4514" w:type="dxa"/>
          </w:tcPr>
          <w:p w:rsidR="00075214" w:rsidRPr="00C36032" w:rsidRDefault="002109DE" w:rsidP="008547C2">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bl>
    <w:p w:rsidR="002109DE" w:rsidRDefault="002109DE" w:rsidP="002109DE">
      <w:pPr>
        <w:pStyle w:val="ListParagraph"/>
        <w:spacing w:line="276" w:lineRule="auto"/>
        <w:ind w:left="850" w:right="329" w:hanging="850"/>
        <w:rPr>
          <w:rFonts w:cs="Arial"/>
          <w:b/>
          <w:color w:val="000000"/>
          <w:sz w:val="24"/>
          <w:szCs w:val="24"/>
        </w:rPr>
      </w:pPr>
    </w:p>
    <w:p w:rsidR="00CD5BF9" w:rsidRDefault="00CD5BF9" w:rsidP="002109DE">
      <w:pPr>
        <w:pStyle w:val="ListParagraph"/>
        <w:spacing w:line="276" w:lineRule="auto"/>
        <w:ind w:left="850" w:right="329" w:hanging="850"/>
        <w:rPr>
          <w:rFonts w:ascii="Arial" w:hAnsi="Arial" w:cs="Arial"/>
          <w:b/>
          <w:color w:val="000000"/>
          <w:sz w:val="24"/>
          <w:szCs w:val="24"/>
        </w:rPr>
      </w:pPr>
    </w:p>
    <w:p w:rsidR="00CD5BF9" w:rsidRDefault="00CD5BF9" w:rsidP="002109DE">
      <w:pPr>
        <w:pStyle w:val="ListParagraph"/>
        <w:spacing w:line="276" w:lineRule="auto"/>
        <w:ind w:left="850" w:right="329" w:hanging="850"/>
        <w:rPr>
          <w:rFonts w:ascii="Arial" w:hAnsi="Arial" w:cs="Arial"/>
          <w:b/>
          <w:color w:val="000000"/>
          <w:sz w:val="24"/>
          <w:szCs w:val="24"/>
        </w:rPr>
      </w:pPr>
    </w:p>
    <w:p w:rsidR="00CD5BF9" w:rsidRDefault="00CD5BF9" w:rsidP="002109DE">
      <w:pPr>
        <w:pStyle w:val="ListParagraph"/>
        <w:spacing w:line="276" w:lineRule="auto"/>
        <w:ind w:left="850" w:right="329" w:hanging="850"/>
        <w:rPr>
          <w:rFonts w:ascii="Arial" w:hAnsi="Arial" w:cs="Arial"/>
          <w:b/>
          <w:color w:val="000000"/>
          <w:sz w:val="24"/>
          <w:szCs w:val="24"/>
        </w:rPr>
      </w:pPr>
    </w:p>
    <w:p w:rsidR="00CD5BF9" w:rsidRDefault="00CD5BF9" w:rsidP="002109DE">
      <w:pPr>
        <w:pStyle w:val="ListParagraph"/>
        <w:spacing w:line="276" w:lineRule="auto"/>
        <w:ind w:left="850" w:right="329" w:hanging="850"/>
        <w:rPr>
          <w:rFonts w:ascii="Arial" w:hAnsi="Arial" w:cs="Arial"/>
          <w:b/>
          <w:color w:val="000000"/>
          <w:sz w:val="24"/>
          <w:szCs w:val="24"/>
        </w:rPr>
      </w:pPr>
    </w:p>
    <w:p w:rsidR="00075214" w:rsidRDefault="00075214" w:rsidP="002109DE">
      <w:pPr>
        <w:pStyle w:val="ListParagraph"/>
        <w:spacing w:line="276" w:lineRule="auto"/>
        <w:ind w:left="850" w:right="329" w:hanging="850"/>
        <w:rPr>
          <w:rFonts w:ascii="Arial" w:hAnsi="Arial" w:cs="Arial"/>
          <w:b/>
          <w:color w:val="000000"/>
          <w:sz w:val="24"/>
          <w:szCs w:val="24"/>
        </w:rPr>
      </w:pPr>
      <w:r w:rsidRPr="00075214">
        <w:rPr>
          <w:rFonts w:ascii="Arial" w:hAnsi="Arial" w:cs="Arial"/>
          <w:b/>
          <w:color w:val="000000"/>
          <w:sz w:val="24"/>
          <w:szCs w:val="24"/>
        </w:rPr>
        <w:t xml:space="preserve">SAX SOC LTD </w:t>
      </w:r>
    </w:p>
    <w:p w:rsidR="00CD5BF9" w:rsidRDefault="00CD5BF9" w:rsidP="002109DE">
      <w:pPr>
        <w:pStyle w:val="ListParagraph"/>
        <w:spacing w:line="276" w:lineRule="auto"/>
        <w:ind w:left="850" w:right="329" w:hanging="850"/>
        <w:rPr>
          <w:rFonts w:ascii="Arial" w:hAnsi="Arial" w:cs="Arial"/>
          <w:b/>
          <w:color w:val="000000"/>
          <w:sz w:val="24"/>
          <w:szCs w:val="24"/>
        </w:rPr>
      </w:pPr>
    </w:p>
    <w:p w:rsidR="00CD5BF9" w:rsidRPr="00CD5BF9" w:rsidRDefault="00CD5BF9" w:rsidP="00CD5BF9">
      <w:pPr>
        <w:spacing w:line="360" w:lineRule="auto"/>
        <w:jc w:val="both"/>
        <w:rPr>
          <w:rFonts w:cs="Arial"/>
          <w:b/>
          <w:bCs/>
          <w:color w:val="auto"/>
          <w:szCs w:val="24"/>
          <w:lang w:val="en-ZA" w:eastAsia="en-ZA"/>
        </w:rPr>
      </w:pPr>
      <w:r w:rsidRPr="00CD5BF9">
        <w:rPr>
          <w:rFonts w:cs="Arial"/>
          <w:bCs/>
          <w:color w:val="auto"/>
          <w:szCs w:val="24"/>
          <w:lang w:val="en-ZA" w:eastAsia="en-ZA"/>
        </w:rPr>
        <w:t>SAX Express has never procured the services of Bell Pottinger and no payments were made thereof. SAX has never required the services of this company.</w:t>
      </w:r>
    </w:p>
    <w:tbl>
      <w:tblPr>
        <w:tblStyle w:val="TableGrid"/>
        <w:tblW w:w="83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
        <w:gridCol w:w="1263"/>
        <w:gridCol w:w="1105"/>
        <w:gridCol w:w="5027"/>
      </w:tblGrid>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w:t>
            </w:r>
          </w:p>
        </w:tc>
        <w:tc>
          <w:tcPr>
            <w:tcW w:w="6640" w:type="dxa"/>
            <w:gridSpan w:val="3"/>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w:t>
            </w:r>
          </w:p>
        </w:tc>
        <w:tc>
          <w:tcPr>
            <w:tcW w:w="5506" w:type="dxa"/>
            <w:gridSpan w:val="2"/>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(ii)</w:t>
            </w:r>
          </w:p>
        </w:tc>
        <w:tc>
          <w:tcPr>
            <w:tcW w:w="5506" w:type="dxa"/>
            <w:gridSpan w:val="2"/>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992"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(aa)</w:t>
            </w:r>
          </w:p>
        </w:tc>
        <w:tc>
          <w:tcPr>
            <w:tcW w:w="451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None</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992"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(bb)</w:t>
            </w:r>
          </w:p>
        </w:tc>
        <w:tc>
          <w:tcPr>
            <w:tcW w:w="451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992"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(cc)</w:t>
            </w:r>
          </w:p>
        </w:tc>
        <w:tc>
          <w:tcPr>
            <w:tcW w:w="451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992"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(dd)</w:t>
            </w:r>
          </w:p>
        </w:tc>
        <w:tc>
          <w:tcPr>
            <w:tcW w:w="451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R NIL</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992"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(ee)</w:t>
            </w:r>
          </w:p>
        </w:tc>
        <w:tc>
          <w:tcPr>
            <w:tcW w:w="451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r w:rsidR="00CD5BF9" w:rsidRPr="00C36032" w:rsidTr="000652FC">
        <w:tc>
          <w:tcPr>
            <w:tcW w:w="850"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1134" w:type="dxa"/>
          </w:tcPr>
          <w:p w:rsidR="00CD5BF9" w:rsidRPr="00C36032" w:rsidRDefault="00CD5BF9" w:rsidP="000652FC">
            <w:pPr>
              <w:pStyle w:val="ListParagraph"/>
              <w:spacing w:line="276" w:lineRule="auto"/>
              <w:ind w:left="0" w:right="329"/>
              <w:rPr>
                <w:rFonts w:ascii="Arial" w:hAnsi="Arial" w:cs="Arial"/>
                <w:color w:val="000000"/>
                <w:sz w:val="24"/>
                <w:szCs w:val="24"/>
              </w:rPr>
            </w:pPr>
          </w:p>
        </w:tc>
        <w:tc>
          <w:tcPr>
            <w:tcW w:w="992"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(ff)</w:t>
            </w:r>
          </w:p>
        </w:tc>
        <w:tc>
          <w:tcPr>
            <w:tcW w:w="4514" w:type="dxa"/>
          </w:tcPr>
          <w:p w:rsidR="00CD5BF9" w:rsidRPr="00C36032" w:rsidRDefault="00CD5BF9" w:rsidP="000652FC">
            <w:pPr>
              <w:pStyle w:val="ListParagraph"/>
              <w:spacing w:line="276" w:lineRule="auto"/>
              <w:ind w:left="0" w:right="329"/>
              <w:rPr>
                <w:rFonts w:ascii="Arial" w:hAnsi="Arial" w:cs="Arial"/>
                <w:color w:val="000000"/>
                <w:sz w:val="24"/>
                <w:szCs w:val="24"/>
              </w:rPr>
            </w:pPr>
            <w:r w:rsidRPr="00C36032">
              <w:rPr>
                <w:rFonts w:ascii="Arial" w:hAnsi="Arial" w:cs="Arial"/>
                <w:color w:val="000000"/>
                <w:sz w:val="24"/>
                <w:szCs w:val="24"/>
              </w:rPr>
              <w:t>Not applicable</w:t>
            </w:r>
          </w:p>
        </w:tc>
      </w:tr>
    </w:tbl>
    <w:p w:rsidR="00CD5BF9" w:rsidRDefault="00CD5BF9" w:rsidP="002109DE">
      <w:pPr>
        <w:pStyle w:val="ListParagraph"/>
        <w:spacing w:line="276" w:lineRule="auto"/>
        <w:ind w:left="850" w:right="329" w:hanging="850"/>
        <w:rPr>
          <w:rFonts w:ascii="Arial" w:hAnsi="Arial" w:cs="Arial"/>
          <w:b/>
          <w:color w:val="000000"/>
          <w:sz w:val="24"/>
          <w:szCs w:val="24"/>
        </w:rPr>
      </w:pPr>
    </w:p>
    <w:p w:rsidR="00075214" w:rsidRDefault="00075214" w:rsidP="002109DE">
      <w:pPr>
        <w:pStyle w:val="ListParagraph"/>
        <w:spacing w:line="276" w:lineRule="auto"/>
        <w:ind w:left="850" w:right="329" w:hanging="850"/>
        <w:rPr>
          <w:rFonts w:ascii="Arial" w:hAnsi="Arial" w:cs="Arial"/>
          <w:b/>
          <w:color w:val="000000"/>
          <w:sz w:val="24"/>
          <w:szCs w:val="24"/>
        </w:rPr>
      </w:pPr>
    </w:p>
    <w:p w:rsidR="00075214" w:rsidRPr="00075214" w:rsidRDefault="00075214" w:rsidP="002109DE">
      <w:pPr>
        <w:pStyle w:val="ListParagraph"/>
        <w:spacing w:line="276" w:lineRule="auto"/>
        <w:ind w:left="850" w:right="329" w:hanging="850"/>
        <w:rPr>
          <w:rFonts w:ascii="Arial" w:hAnsi="Arial" w:cs="Arial"/>
          <w:b/>
          <w:color w:val="000000"/>
          <w:sz w:val="24"/>
          <w:szCs w:val="24"/>
        </w:rPr>
      </w:pPr>
      <w:r w:rsidRPr="00075214">
        <w:rPr>
          <w:rFonts w:ascii="Arial" w:hAnsi="Arial" w:cs="Arial"/>
          <w:b/>
          <w:color w:val="000000"/>
          <w:sz w:val="24"/>
          <w:szCs w:val="24"/>
        </w:rPr>
        <w:t>TRANSNET SOC LTD</w:t>
      </w:r>
    </w:p>
    <w:p w:rsidR="00472830" w:rsidRPr="00472830" w:rsidRDefault="00472830" w:rsidP="00472830">
      <w:pPr>
        <w:spacing w:before="100" w:beforeAutospacing="1" w:after="100" w:afterAutospacing="1"/>
        <w:ind w:left="1136" w:hanging="1136"/>
        <w:jc w:val="both"/>
        <w:rPr>
          <w:rFonts w:cs="Arial"/>
          <w:color w:val="auto"/>
          <w:szCs w:val="24"/>
          <w:lang w:eastAsia="en-US"/>
        </w:rPr>
      </w:pPr>
      <w:r w:rsidRPr="00472830">
        <w:rPr>
          <w:rFonts w:ascii="Tahoma" w:hAnsi="Tahoma" w:cs="Tahoma"/>
          <w:color w:val="auto"/>
          <w:szCs w:val="24"/>
          <w:lang w:eastAsia="en-US"/>
        </w:rPr>
        <w:t>(1)(b)(i)</w:t>
      </w:r>
      <w:r w:rsidRPr="00472830">
        <w:rPr>
          <w:rFonts w:ascii="Tahoma" w:hAnsi="Tahoma" w:cs="Tahoma"/>
          <w:color w:val="auto"/>
          <w:szCs w:val="24"/>
          <w:lang w:eastAsia="en-US"/>
        </w:rPr>
        <w:tab/>
      </w:r>
      <w:r w:rsidRPr="00472830">
        <w:rPr>
          <w:rFonts w:cs="Arial"/>
          <w:color w:val="auto"/>
          <w:szCs w:val="24"/>
          <w:lang w:eastAsia="en-US"/>
        </w:rPr>
        <w:t>Transnet has not made any payment to Bell Pottinger. The company is not on the list of Transnet’s service providers.</w:t>
      </w:r>
    </w:p>
    <w:p w:rsidR="00472830" w:rsidRPr="00472830" w:rsidRDefault="00472830" w:rsidP="00472830">
      <w:pPr>
        <w:spacing w:before="100" w:beforeAutospacing="1" w:after="100" w:afterAutospacing="1"/>
        <w:ind w:left="1136" w:hanging="1136"/>
        <w:jc w:val="both"/>
        <w:rPr>
          <w:rFonts w:cs="Arial"/>
          <w:color w:val="auto"/>
          <w:szCs w:val="24"/>
          <w:lang w:eastAsia="en-US"/>
        </w:rPr>
      </w:pPr>
    </w:p>
    <w:p w:rsidR="00472830" w:rsidRPr="00472830" w:rsidRDefault="00472830" w:rsidP="00472830">
      <w:pPr>
        <w:spacing w:before="100" w:beforeAutospacing="1" w:after="100" w:afterAutospacing="1" w:line="276" w:lineRule="auto"/>
        <w:ind w:left="1136" w:hanging="1136"/>
        <w:contextualSpacing/>
        <w:jc w:val="both"/>
        <w:rPr>
          <w:rFonts w:eastAsia="Calibri" w:cs="Arial"/>
          <w:color w:val="auto"/>
          <w:szCs w:val="24"/>
          <w:lang w:eastAsia="en-US"/>
        </w:rPr>
      </w:pPr>
      <w:r w:rsidRPr="00472830">
        <w:rPr>
          <w:rFonts w:eastAsia="Calibri" w:cs="Arial"/>
          <w:color w:val="auto"/>
          <w:szCs w:val="24"/>
          <w:lang w:eastAsia="en-US"/>
        </w:rPr>
        <w:t>(1)(b)(ii)</w:t>
      </w:r>
      <w:r w:rsidRPr="00472830">
        <w:rPr>
          <w:rFonts w:eastAsia="Calibri" w:cs="Arial"/>
          <w:color w:val="auto"/>
          <w:szCs w:val="24"/>
          <w:lang w:eastAsia="en-US"/>
        </w:rPr>
        <w:tab/>
        <w:t>Refer to “</w:t>
      </w:r>
      <w:r w:rsidRPr="00472830">
        <w:rPr>
          <w:rFonts w:eastAsia="Calibri" w:cs="Arial"/>
          <w:b/>
          <w:color w:val="auto"/>
          <w:szCs w:val="24"/>
          <w:lang w:eastAsia="en-US"/>
        </w:rPr>
        <w:t>Annexure A</w:t>
      </w:r>
      <w:r w:rsidRPr="00472830">
        <w:rPr>
          <w:rFonts w:eastAsia="Calibri" w:cs="Arial"/>
          <w:color w:val="auto"/>
          <w:szCs w:val="24"/>
          <w:lang w:eastAsia="en-US"/>
        </w:rPr>
        <w:t>” for further information on other public relations firms utilized by Transnet. The information provided is for the last three financial years.</w:t>
      </w:r>
    </w:p>
    <w:p w:rsidR="00610FE8" w:rsidRDefault="00472830" w:rsidP="00472830">
      <w:pPr>
        <w:spacing w:line="276" w:lineRule="auto"/>
        <w:ind w:right="329"/>
        <w:rPr>
          <w:rFonts w:cs="Arial"/>
          <w:sz w:val="22"/>
          <w:szCs w:val="22"/>
        </w:rPr>
      </w:pPr>
      <w:r>
        <w:rPr>
          <w:rFonts w:ascii="Times New Roman" w:hAnsi="Times New Roman"/>
          <w:noProof/>
          <w:color w:val="auto"/>
          <w:szCs w:val="24"/>
          <w:lang w:val="en-ZA" w:eastAsia="en-ZA"/>
        </w:rPr>
        <w:lastRenderedPageBreak/>
        <w:drawing>
          <wp:inline distT="0" distB="0" distL="0" distR="0">
            <wp:extent cx="5737860" cy="6797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6797040"/>
                    </a:xfrm>
                    <a:prstGeom prst="rect">
                      <a:avLst/>
                    </a:prstGeom>
                    <a:noFill/>
                    <a:ln>
                      <a:noFill/>
                    </a:ln>
                  </pic:spPr>
                </pic:pic>
              </a:graphicData>
            </a:graphic>
          </wp:inline>
        </w:drawing>
      </w:r>
    </w:p>
    <w:p w:rsidR="00075214" w:rsidRDefault="00075214" w:rsidP="00B4315E">
      <w:pPr>
        <w:spacing w:line="276" w:lineRule="auto"/>
        <w:ind w:right="329"/>
        <w:rPr>
          <w:rFonts w:cs="Arial"/>
          <w:sz w:val="22"/>
          <w:szCs w:val="22"/>
        </w:rPr>
      </w:pPr>
    </w:p>
    <w:p w:rsidR="00075214" w:rsidRDefault="00075214" w:rsidP="00B4315E">
      <w:pPr>
        <w:spacing w:line="276" w:lineRule="auto"/>
        <w:ind w:right="329"/>
        <w:rPr>
          <w:rFonts w:cs="Arial"/>
          <w:sz w:val="22"/>
          <w:szCs w:val="22"/>
        </w:rPr>
      </w:pPr>
    </w:p>
    <w:p w:rsidR="002109DE" w:rsidRDefault="002109DE" w:rsidP="00B4315E">
      <w:pPr>
        <w:spacing w:line="276" w:lineRule="auto"/>
        <w:ind w:right="329"/>
        <w:rPr>
          <w:rFonts w:cs="Arial"/>
          <w:sz w:val="22"/>
          <w:szCs w:val="2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8"/>
        <w:gridCol w:w="638"/>
        <w:gridCol w:w="3827"/>
        <w:gridCol w:w="992"/>
      </w:tblGrid>
      <w:tr w:rsidR="002109DE" w:rsidRPr="00585FF9" w:rsidTr="008547C2">
        <w:trPr>
          <w:trHeight w:val="855"/>
        </w:trPr>
        <w:tc>
          <w:tcPr>
            <w:tcW w:w="3794" w:type="dxa"/>
          </w:tcPr>
          <w:p w:rsidR="002109DE" w:rsidRDefault="002109DE" w:rsidP="008547C2">
            <w:pPr>
              <w:rPr>
                <w:rFonts w:cs="Arial"/>
                <w:b/>
                <w:snapToGrid w:val="0"/>
                <w:sz w:val="22"/>
              </w:rPr>
            </w:pPr>
            <w:r w:rsidRPr="00585FF9">
              <w:rPr>
                <w:rFonts w:cs="Arial"/>
                <w:b/>
                <w:snapToGrid w:val="0"/>
                <w:sz w:val="22"/>
              </w:rPr>
              <w:t xml:space="preserve">Remarks: </w:t>
            </w:r>
          </w:p>
          <w:p w:rsidR="002109DE" w:rsidRDefault="002109DE" w:rsidP="008547C2">
            <w:pPr>
              <w:rPr>
                <w:rFonts w:cs="Arial"/>
                <w:b/>
                <w:snapToGrid w:val="0"/>
                <w:sz w:val="22"/>
              </w:rPr>
            </w:pPr>
          </w:p>
          <w:p w:rsidR="002109DE" w:rsidRDefault="002109DE" w:rsidP="008547C2">
            <w:pPr>
              <w:rPr>
                <w:rFonts w:cs="Arial"/>
                <w:b/>
                <w:snapToGrid w:val="0"/>
                <w:sz w:val="22"/>
              </w:rPr>
            </w:pPr>
          </w:p>
          <w:p w:rsidR="002109DE" w:rsidRDefault="002109DE" w:rsidP="008547C2">
            <w:pPr>
              <w:rPr>
                <w:rFonts w:cs="Arial"/>
                <w:b/>
                <w:snapToGrid w:val="0"/>
                <w:sz w:val="22"/>
              </w:rPr>
            </w:pPr>
          </w:p>
          <w:p w:rsidR="002109DE" w:rsidRPr="00585FF9" w:rsidRDefault="002109DE" w:rsidP="008547C2">
            <w:pPr>
              <w:rPr>
                <w:rFonts w:cs="Arial"/>
                <w:b/>
                <w:snapToGrid w:val="0"/>
                <w:sz w:val="22"/>
              </w:rPr>
            </w:pPr>
          </w:p>
        </w:tc>
        <w:tc>
          <w:tcPr>
            <w:tcW w:w="638" w:type="dxa"/>
          </w:tcPr>
          <w:p w:rsidR="002109DE" w:rsidRPr="00585FF9" w:rsidRDefault="002109DE" w:rsidP="008547C2">
            <w:pPr>
              <w:rPr>
                <w:rFonts w:cs="Arial"/>
                <w:b/>
                <w:snapToGrid w:val="0"/>
                <w:sz w:val="22"/>
              </w:rPr>
            </w:pPr>
          </w:p>
        </w:tc>
        <w:tc>
          <w:tcPr>
            <w:tcW w:w="638" w:type="dxa"/>
          </w:tcPr>
          <w:p w:rsidR="002109DE" w:rsidRPr="00585FF9" w:rsidRDefault="002109DE" w:rsidP="008547C2">
            <w:pPr>
              <w:rPr>
                <w:rFonts w:cs="Arial"/>
                <w:b/>
                <w:snapToGrid w:val="0"/>
                <w:sz w:val="22"/>
              </w:rPr>
            </w:pPr>
          </w:p>
        </w:tc>
        <w:tc>
          <w:tcPr>
            <w:tcW w:w="4819" w:type="dxa"/>
            <w:gridSpan w:val="2"/>
          </w:tcPr>
          <w:p w:rsidR="002109DE" w:rsidRPr="00585FF9" w:rsidRDefault="002109DE" w:rsidP="008547C2">
            <w:pPr>
              <w:ind w:right="328"/>
              <w:rPr>
                <w:rFonts w:cs="Arial"/>
                <w:b/>
                <w:snapToGrid w:val="0"/>
                <w:sz w:val="22"/>
              </w:rPr>
            </w:pPr>
            <w:r w:rsidRPr="00585FF9">
              <w:rPr>
                <w:rFonts w:cs="Arial"/>
                <w:b/>
                <w:snapToGrid w:val="0"/>
                <w:sz w:val="22"/>
              </w:rPr>
              <w:t>Reply: Approved / Not Approved</w:t>
            </w:r>
          </w:p>
          <w:p w:rsidR="002109DE" w:rsidRPr="00585FF9" w:rsidRDefault="002109DE" w:rsidP="008547C2">
            <w:pPr>
              <w:ind w:right="328"/>
              <w:rPr>
                <w:rFonts w:cs="Arial"/>
                <w:b/>
                <w:snapToGrid w:val="0"/>
                <w:sz w:val="22"/>
              </w:rPr>
            </w:pPr>
          </w:p>
          <w:p w:rsidR="002109DE" w:rsidRPr="00585FF9" w:rsidRDefault="002109DE" w:rsidP="008547C2">
            <w:pPr>
              <w:ind w:right="328"/>
              <w:rPr>
                <w:rFonts w:cs="Arial"/>
                <w:b/>
                <w:snapToGrid w:val="0"/>
                <w:sz w:val="22"/>
              </w:rPr>
            </w:pPr>
          </w:p>
          <w:p w:rsidR="002109DE" w:rsidRDefault="002109DE" w:rsidP="008547C2">
            <w:pPr>
              <w:rPr>
                <w:rFonts w:cs="Arial"/>
                <w:b/>
                <w:snapToGrid w:val="0"/>
                <w:sz w:val="22"/>
              </w:rPr>
            </w:pPr>
          </w:p>
          <w:p w:rsidR="002109DE" w:rsidRDefault="002109DE" w:rsidP="008547C2">
            <w:pPr>
              <w:rPr>
                <w:rFonts w:cs="Arial"/>
                <w:b/>
                <w:snapToGrid w:val="0"/>
                <w:sz w:val="22"/>
              </w:rPr>
            </w:pPr>
          </w:p>
          <w:p w:rsidR="002109DE" w:rsidRPr="00585FF9" w:rsidRDefault="002109DE" w:rsidP="008547C2">
            <w:pPr>
              <w:rPr>
                <w:rFonts w:cs="Arial"/>
                <w:b/>
                <w:snapToGrid w:val="0"/>
                <w:sz w:val="22"/>
              </w:rPr>
            </w:pPr>
          </w:p>
        </w:tc>
      </w:tr>
      <w:tr w:rsidR="002109DE" w:rsidRPr="00585FF9" w:rsidTr="008547C2">
        <w:tc>
          <w:tcPr>
            <w:tcW w:w="3794" w:type="dxa"/>
            <w:tcBorders>
              <w:bottom w:val="single" w:sz="4" w:space="0" w:color="auto"/>
            </w:tcBorders>
          </w:tcPr>
          <w:p w:rsidR="002109DE" w:rsidRPr="00585FF9" w:rsidRDefault="002109DE" w:rsidP="008547C2">
            <w:pPr>
              <w:rPr>
                <w:rFonts w:cs="Arial"/>
                <w:b/>
                <w:snapToGrid w:val="0"/>
                <w:sz w:val="22"/>
              </w:rPr>
            </w:pPr>
          </w:p>
          <w:p w:rsidR="002109DE" w:rsidRPr="00585FF9" w:rsidRDefault="002109DE" w:rsidP="008547C2">
            <w:pPr>
              <w:rPr>
                <w:rFonts w:cs="Arial"/>
                <w:b/>
                <w:snapToGrid w:val="0"/>
                <w:sz w:val="22"/>
              </w:rPr>
            </w:pPr>
          </w:p>
        </w:tc>
        <w:tc>
          <w:tcPr>
            <w:tcW w:w="638" w:type="dxa"/>
          </w:tcPr>
          <w:p w:rsidR="002109DE" w:rsidRPr="00585FF9" w:rsidRDefault="002109DE" w:rsidP="008547C2">
            <w:pPr>
              <w:rPr>
                <w:rFonts w:cs="Arial"/>
                <w:b/>
                <w:snapToGrid w:val="0"/>
                <w:sz w:val="22"/>
              </w:rPr>
            </w:pPr>
          </w:p>
        </w:tc>
        <w:tc>
          <w:tcPr>
            <w:tcW w:w="638" w:type="dxa"/>
          </w:tcPr>
          <w:p w:rsidR="002109DE" w:rsidRPr="00585FF9" w:rsidRDefault="002109DE" w:rsidP="008547C2">
            <w:pPr>
              <w:rPr>
                <w:rFonts w:cs="Arial"/>
                <w:b/>
                <w:snapToGrid w:val="0"/>
                <w:sz w:val="22"/>
              </w:rPr>
            </w:pPr>
          </w:p>
        </w:tc>
        <w:tc>
          <w:tcPr>
            <w:tcW w:w="4819" w:type="dxa"/>
            <w:gridSpan w:val="2"/>
          </w:tcPr>
          <w:p w:rsidR="002109DE" w:rsidRPr="00585FF9" w:rsidRDefault="002109DE" w:rsidP="008547C2">
            <w:pPr>
              <w:rPr>
                <w:rFonts w:cs="Arial"/>
                <w:b/>
                <w:snapToGrid w:val="0"/>
                <w:sz w:val="22"/>
              </w:rPr>
            </w:pPr>
          </w:p>
        </w:tc>
      </w:tr>
      <w:tr w:rsidR="002109DE" w:rsidRPr="00585FF9" w:rsidTr="008547C2">
        <w:tc>
          <w:tcPr>
            <w:tcW w:w="3794" w:type="dxa"/>
            <w:tcBorders>
              <w:top w:val="single" w:sz="4" w:space="0" w:color="auto"/>
            </w:tcBorders>
          </w:tcPr>
          <w:p w:rsidR="002109DE" w:rsidRPr="00585FF9" w:rsidRDefault="002109DE" w:rsidP="008547C2">
            <w:pPr>
              <w:spacing w:line="360" w:lineRule="auto"/>
              <w:rPr>
                <w:rFonts w:cs="Arial"/>
                <w:b/>
                <w:snapToGrid w:val="0"/>
                <w:sz w:val="22"/>
              </w:rPr>
            </w:pPr>
            <w:r>
              <w:rPr>
                <w:rFonts w:cs="Arial"/>
                <w:b/>
                <w:snapToGrid w:val="0"/>
                <w:sz w:val="22"/>
              </w:rPr>
              <w:t>Mr Mogokare Richard Seleke</w:t>
            </w:r>
          </w:p>
        </w:tc>
        <w:tc>
          <w:tcPr>
            <w:tcW w:w="638" w:type="dxa"/>
          </w:tcPr>
          <w:p w:rsidR="002109DE" w:rsidRPr="00585FF9" w:rsidRDefault="002109DE" w:rsidP="008547C2">
            <w:pPr>
              <w:spacing w:line="360" w:lineRule="auto"/>
              <w:rPr>
                <w:rFonts w:cs="Arial"/>
                <w:b/>
                <w:snapToGrid w:val="0"/>
                <w:sz w:val="22"/>
              </w:rPr>
            </w:pPr>
          </w:p>
        </w:tc>
        <w:tc>
          <w:tcPr>
            <w:tcW w:w="638" w:type="dxa"/>
          </w:tcPr>
          <w:p w:rsidR="002109DE" w:rsidRPr="00585FF9" w:rsidRDefault="002109DE" w:rsidP="008547C2">
            <w:pPr>
              <w:spacing w:line="360" w:lineRule="auto"/>
              <w:rPr>
                <w:rFonts w:cs="Arial"/>
                <w:b/>
                <w:snapToGrid w:val="0"/>
                <w:sz w:val="22"/>
              </w:rPr>
            </w:pPr>
          </w:p>
        </w:tc>
        <w:tc>
          <w:tcPr>
            <w:tcW w:w="3827" w:type="dxa"/>
            <w:tcBorders>
              <w:top w:val="single" w:sz="4" w:space="0" w:color="auto"/>
            </w:tcBorders>
          </w:tcPr>
          <w:p w:rsidR="002109DE" w:rsidRPr="00585FF9" w:rsidRDefault="002109DE" w:rsidP="008547C2">
            <w:pPr>
              <w:spacing w:line="360" w:lineRule="auto"/>
              <w:rPr>
                <w:rFonts w:cs="Arial"/>
                <w:b/>
                <w:snapToGrid w:val="0"/>
                <w:sz w:val="22"/>
              </w:rPr>
            </w:pPr>
            <w:r w:rsidRPr="00585FF9">
              <w:rPr>
                <w:rFonts w:cs="Arial"/>
                <w:b/>
                <w:snapToGrid w:val="0"/>
                <w:sz w:val="22"/>
              </w:rPr>
              <w:t>Ms Lynne Brown, MP</w:t>
            </w:r>
          </w:p>
        </w:tc>
        <w:tc>
          <w:tcPr>
            <w:tcW w:w="992" w:type="dxa"/>
          </w:tcPr>
          <w:p w:rsidR="002109DE" w:rsidRPr="00585FF9" w:rsidRDefault="002109DE" w:rsidP="008547C2">
            <w:pPr>
              <w:spacing w:line="360" w:lineRule="auto"/>
              <w:rPr>
                <w:rFonts w:cs="Arial"/>
                <w:b/>
                <w:snapToGrid w:val="0"/>
                <w:sz w:val="22"/>
              </w:rPr>
            </w:pPr>
          </w:p>
        </w:tc>
      </w:tr>
      <w:tr w:rsidR="002109DE" w:rsidRPr="00585FF9" w:rsidTr="008547C2">
        <w:tc>
          <w:tcPr>
            <w:tcW w:w="3794" w:type="dxa"/>
          </w:tcPr>
          <w:p w:rsidR="002109DE" w:rsidRPr="00585FF9" w:rsidRDefault="002109DE" w:rsidP="008547C2">
            <w:pPr>
              <w:spacing w:line="360" w:lineRule="auto"/>
              <w:rPr>
                <w:rFonts w:cs="Arial"/>
                <w:b/>
                <w:snapToGrid w:val="0"/>
                <w:sz w:val="22"/>
              </w:rPr>
            </w:pPr>
            <w:r w:rsidRPr="00585FF9">
              <w:rPr>
                <w:rFonts w:cs="Arial"/>
                <w:b/>
                <w:snapToGrid w:val="0"/>
                <w:sz w:val="22"/>
              </w:rPr>
              <w:t>Director-General</w:t>
            </w:r>
          </w:p>
        </w:tc>
        <w:tc>
          <w:tcPr>
            <w:tcW w:w="638" w:type="dxa"/>
          </w:tcPr>
          <w:p w:rsidR="002109DE" w:rsidRPr="00585FF9" w:rsidRDefault="002109DE" w:rsidP="008547C2">
            <w:pPr>
              <w:spacing w:line="360" w:lineRule="auto"/>
              <w:rPr>
                <w:rFonts w:cs="Arial"/>
                <w:b/>
                <w:snapToGrid w:val="0"/>
                <w:sz w:val="22"/>
              </w:rPr>
            </w:pPr>
          </w:p>
        </w:tc>
        <w:tc>
          <w:tcPr>
            <w:tcW w:w="638" w:type="dxa"/>
          </w:tcPr>
          <w:p w:rsidR="002109DE" w:rsidRPr="00585FF9" w:rsidRDefault="002109DE" w:rsidP="008547C2">
            <w:pPr>
              <w:spacing w:line="360" w:lineRule="auto"/>
              <w:rPr>
                <w:rFonts w:cs="Arial"/>
                <w:b/>
                <w:snapToGrid w:val="0"/>
                <w:sz w:val="22"/>
              </w:rPr>
            </w:pPr>
          </w:p>
        </w:tc>
        <w:tc>
          <w:tcPr>
            <w:tcW w:w="4819" w:type="dxa"/>
            <w:gridSpan w:val="2"/>
          </w:tcPr>
          <w:p w:rsidR="002109DE" w:rsidRPr="00585FF9" w:rsidRDefault="002109DE" w:rsidP="008547C2">
            <w:pPr>
              <w:spacing w:line="360" w:lineRule="auto"/>
              <w:rPr>
                <w:rFonts w:cs="Arial"/>
                <w:b/>
                <w:snapToGrid w:val="0"/>
                <w:sz w:val="22"/>
              </w:rPr>
            </w:pPr>
            <w:r w:rsidRPr="00585FF9">
              <w:rPr>
                <w:rFonts w:cs="Arial"/>
                <w:b/>
                <w:snapToGrid w:val="0"/>
                <w:sz w:val="22"/>
              </w:rPr>
              <w:t>Minister of Public Enterprises</w:t>
            </w:r>
          </w:p>
        </w:tc>
      </w:tr>
      <w:tr w:rsidR="002109DE" w:rsidRPr="00585FF9" w:rsidTr="008547C2">
        <w:tc>
          <w:tcPr>
            <w:tcW w:w="3794" w:type="dxa"/>
          </w:tcPr>
          <w:p w:rsidR="002109DE" w:rsidRPr="00585FF9" w:rsidRDefault="002109DE" w:rsidP="008547C2">
            <w:pPr>
              <w:spacing w:line="360" w:lineRule="auto"/>
              <w:rPr>
                <w:rFonts w:cs="Arial"/>
                <w:b/>
                <w:snapToGrid w:val="0"/>
                <w:sz w:val="22"/>
              </w:rPr>
            </w:pPr>
            <w:r w:rsidRPr="00585FF9">
              <w:rPr>
                <w:rFonts w:cs="Arial"/>
                <w:b/>
                <w:snapToGrid w:val="0"/>
                <w:sz w:val="22"/>
              </w:rPr>
              <w:t>Date:</w:t>
            </w:r>
          </w:p>
        </w:tc>
        <w:tc>
          <w:tcPr>
            <w:tcW w:w="638" w:type="dxa"/>
          </w:tcPr>
          <w:p w:rsidR="002109DE" w:rsidRPr="00585FF9" w:rsidRDefault="002109DE" w:rsidP="008547C2">
            <w:pPr>
              <w:spacing w:line="360" w:lineRule="auto"/>
              <w:rPr>
                <w:rFonts w:cs="Arial"/>
                <w:b/>
                <w:snapToGrid w:val="0"/>
                <w:sz w:val="22"/>
              </w:rPr>
            </w:pPr>
          </w:p>
        </w:tc>
        <w:tc>
          <w:tcPr>
            <w:tcW w:w="638" w:type="dxa"/>
          </w:tcPr>
          <w:p w:rsidR="002109DE" w:rsidRPr="00585FF9" w:rsidRDefault="002109DE" w:rsidP="008547C2">
            <w:pPr>
              <w:spacing w:line="360" w:lineRule="auto"/>
              <w:rPr>
                <w:rFonts w:cs="Arial"/>
                <w:b/>
                <w:snapToGrid w:val="0"/>
                <w:sz w:val="22"/>
              </w:rPr>
            </w:pPr>
          </w:p>
        </w:tc>
        <w:tc>
          <w:tcPr>
            <w:tcW w:w="4819" w:type="dxa"/>
            <w:gridSpan w:val="2"/>
          </w:tcPr>
          <w:p w:rsidR="002109DE" w:rsidRPr="00585FF9" w:rsidRDefault="002109DE" w:rsidP="008547C2">
            <w:pPr>
              <w:spacing w:line="360" w:lineRule="auto"/>
              <w:rPr>
                <w:rFonts w:cs="Arial"/>
                <w:b/>
                <w:snapToGrid w:val="0"/>
                <w:sz w:val="22"/>
              </w:rPr>
            </w:pPr>
            <w:r w:rsidRPr="00585FF9">
              <w:rPr>
                <w:rFonts w:cs="Arial"/>
                <w:b/>
                <w:snapToGrid w:val="0"/>
                <w:sz w:val="22"/>
              </w:rPr>
              <w:t>Date:</w:t>
            </w:r>
          </w:p>
        </w:tc>
      </w:tr>
    </w:tbl>
    <w:p w:rsidR="002109DE" w:rsidRDefault="002109DE" w:rsidP="00B4315E">
      <w:pPr>
        <w:spacing w:line="276" w:lineRule="auto"/>
        <w:ind w:right="329"/>
        <w:rPr>
          <w:rFonts w:cs="Arial"/>
          <w:sz w:val="22"/>
          <w:szCs w:val="22"/>
        </w:rPr>
      </w:pPr>
    </w:p>
    <w:sectPr w:rsidR="002109DE" w:rsidSect="00B4315E">
      <w:headerReference w:type="even" r:id="rId10"/>
      <w:headerReference w:type="default" r:id="rId11"/>
      <w:footerReference w:type="even" r:id="rId12"/>
      <w:footerReference w:type="default" r:id="rId13"/>
      <w:headerReference w:type="first" r:id="rId14"/>
      <w:footerReference w:type="first" r:id="rId15"/>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86" w:rsidRDefault="005A7F86">
      <w:r>
        <w:separator/>
      </w:r>
    </w:p>
  </w:endnote>
  <w:endnote w:type="continuationSeparator" w:id="0">
    <w:p w:rsidR="005A7F86" w:rsidRDefault="005A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38" w:rsidRDefault="00651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bookmarkStart w:id="0" w:name="_GoBack" w:displacedByCustomXml="prev"/>
          <w:bookmarkEnd w:id="0" w:displacedByCustomXml="prev"/>
          <w:p w:rsidR="003E058D" w:rsidRPr="003E058D" w:rsidRDefault="00B4315E">
            <w:pPr>
              <w:pStyle w:val="Footer"/>
              <w:jc w:val="right"/>
              <w:rPr>
                <w:sz w:val="16"/>
              </w:rPr>
            </w:pPr>
            <w:r>
              <w:rPr>
                <w:sz w:val="16"/>
              </w:rPr>
              <w:t xml:space="preserve">                                                      </w:t>
            </w:r>
            <w:r w:rsidR="003E058D" w:rsidRPr="003E058D">
              <w:rPr>
                <w:sz w:val="16"/>
              </w:rPr>
              <w:t xml:space="preserve">Page </w:t>
            </w:r>
            <w:r w:rsidR="003E058D" w:rsidRPr="003E058D">
              <w:rPr>
                <w:bCs/>
                <w:sz w:val="16"/>
                <w:szCs w:val="24"/>
              </w:rPr>
              <w:fldChar w:fldCharType="begin"/>
            </w:r>
            <w:r w:rsidR="003E058D" w:rsidRPr="003E058D">
              <w:rPr>
                <w:bCs/>
                <w:sz w:val="16"/>
              </w:rPr>
              <w:instrText xml:space="preserve"> PAGE </w:instrText>
            </w:r>
            <w:r w:rsidR="003E058D" w:rsidRPr="003E058D">
              <w:rPr>
                <w:bCs/>
                <w:sz w:val="16"/>
                <w:szCs w:val="24"/>
              </w:rPr>
              <w:fldChar w:fldCharType="separate"/>
            </w:r>
            <w:r w:rsidR="00651438">
              <w:rPr>
                <w:bCs/>
                <w:noProof/>
                <w:sz w:val="16"/>
              </w:rPr>
              <w:t>1</w:t>
            </w:r>
            <w:r w:rsidR="003E058D" w:rsidRPr="003E058D">
              <w:rPr>
                <w:bCs/>
                <w:sz w:val="16"/>
                <w:szCs w:val="24"/>
              </w:rPr>
              <w:fldChar w:fldCharType="end"/>
            </w:r>
            <w:r w:rsidR="003E058D" w:rsidRPr="003E058D">
              <w:rPr>
                <w:sz w:val="16"/>
              </w:rPr>
              <w:t xml:space="preserve"> of </w:t>
            </w:r>
            <w:r w:rsidR="003E058D" w:rsidRPr="003E058D">
              <w:rPr>
                <w:bCs/>
                <w:sz w:val="16"/>
                <w:szCs w:val="24"/>
              </w:rPr>
              <w:fldChar w:fldCharType="begin"/>
            </w:r>
            <w:r w:rsidR="003E058D" w:rsidRPr="003E058D">
              <w:rPr>
                <w:bCs/>
                <w:sz w:val="16"/>
              </w:rPr>
              <w:instrText xml:space="preserve"> NUMPAGES  </w:instrText>
            </w:r>
            <w:r w:rsidR="003E058D" w:rsidRPr="003E058D">
              <w:rPr>
                <w:bCs/>
                <w:sz w:val="16"/>
                <w:szCs w:val="24"/>
              </w:rPr>
              <w:fldChar w:fldCharType="separate"/>
            </w:r>
            <w:r w:rsidR="00651438">
              <w:rPr>
                <w:bCs/>
                <w:noProof/>
                <w:sz w:val="16"/>
              </w:rPr>
              <w:t>6</w:t>
            </w:r>
            <w:r w:rsidR="003E058D" w:rsidRPr="003E058D">
              <w:rPr>
                <w:bCs/>
                <w:sz w:val="16"/>
                <w:szCs w:val="24"/>
              </w:rPr>
              <w:fldChar w:fldCharType="end"/>
            </w:r>
          </w:p>
        </w:sdtContent>
      </w:sdt>
    </w:sdtContent>
  </w:sdt>
  <w:p w:rsidR="006D7F6D" w:rsidRPr="00A27D60" w:rsidRDefault="00651438" w:rsidP="00A27D6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87795A">
              <w:rPr>
                <w:bCs/>
                <w:noProof/>
                <w:sz w:val="16"/>
                <w:szCs w:val="16"/>
              </w:rPr>
              <w:t>6</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86" w:rsidRDefault="005A7F86">
      <w:r>
        <w:separator/>
      </w:r>
    </w:p>
  </w:footnote>
  <w:footnote w:type="continuationSeparator" w:id="0">
    <w:p w:rsidR="005A7F86" w:rsidRDefault="005A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2" w:rsidRDefault="00651438">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38" w:rsidRDefault="00651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nsid w:val="251E1B5D"/>
    <w:multiLevelType w:val="hybridMultilevel"/>
    <w:tmpl w:val="D5025F00"/>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9">
    <w:nsid w:val="2C4A41A2"/>
    <w:multiLevelType w:val="hybridMultilevel"/>
    <w:tmpl w:val="331E5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2">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B4257"/>
    <w:multiLevelType w:val="hybridMultilevel"/>
    <w:tmpl w:val="8A6CB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9">
    <w:nsid w:val="58AC0761"/>
    <w:multiLevelType w:val="hybridMultilevel"/>
    <w:tmpl w:val="8668DE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3">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24BCD"/>
    <w:multiLevelType w:val="hybridMultilevel"/>
    <w:tmpl w:val="0782827E"/>
    <w:lvl w:ilvl="0" w:tplc="00144FCE">
      <w:start w:val="1"/>
      <w:numFmt w:val="lowerLetter"/>
      <w:lvlText w:val="(%1)"/>
      <w:lvlJc w:val="left"/>
      <w:pPr>
        <w:ind w:left="1140" w:hanging="360"/>
      </w:pPr>
      <w:rPr>
        <w:rFonts w:hint="default"/>
        <w:b/>
        <w:sz w:val="22"/>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7">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2"/>
  </w:num>
  <w:num w:numId="5">
    <w:abstractNumId w:val="3"/>
  </w:num>
  <w:num w:numId="6">
    <w:abstractNumId w:val="5"/>
  </w:num>
  <w:num w:numId="7">
    <w:abstractNumId w:val="0"/>
  </w:num>
  <w:num w:numId="8">
    <w:abstractNumId w:val="2"/>
  </w:num>
  <w:num w:numId="9">
    <w:abstractNumId w:val="1"/>
  </w:num>
  <w:num w:numId="10">
    <w:abstractNumId w:val="22"/>
  </w:num>
  <w:num w:numId="11">
    <w:abstractNumId w:val="26"/>
  </w:num>
  <w:num w:numId="12">
    <w:abstractNumId w:val="10"/>
  </w:num>
  <w:num w:numId="13">
    <w:abstractNumId w:val="18"/>
  </w:num>
  <w:num w:numId="14">
    <w:abstractNumId w:val="17"/>
  </w:num>
  <w:num w:numId="15">
    <w:abstractNumId w:val="28"/>
  </w:num>
  <w:num w:numId="16">
    <w:abstractNumId w:val="20"/>
  </w:num>
  <w:num w:numId="17">
    <w:abstractNumId w:val="13"/>
  </w:num>
  <w:num w:numId="18">
    <w:abstractNumId w:val="25"/>
  </w:num>
  <w:num w:numId="19">
    <w:abstractNumId w:val="4"/>
  </w:num>
  <w:num w:numId="20">
    <w:abstractNumId w:val="7"/>
  </w:num>
  <w:num w:numId="21">
    <w:abstractNumId w:val="21"/>
  </w:num>
  <w:num w:numId="22">
    <w:abstractNumId w:val="23"/>
  </w:num>
  <w:num w:numId="23">
    <w:abstractNumId w:val="15"/>
  </w:num>
  <w:num w:numId="24">
    <w:abstractNumId w:val="8"/>
  </w:num>
  <w:num w:numId="25">
    <w:abstractNumId w:val="9"/>
  </w:num>
  <w:num w:numId="26">
    <w:abstractNumId w:val="16"/>
  </w:num>
  <w:num w:numId="27">
    <w:abstractNumId w:val="19"/>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214"/>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872"/>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2744C"/>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371D"/>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5AF6"/>
    <w:rsid w:val="00466399"/>
    <w:rsid w:val="00466F07"/>
    <w:rsid w:val="0046724A"/>
    <w:rsid w:val="00467541"/>
    <w:rsid w:val="00470855"/>
    <w:rsid w:val="00470DE4"/>
    <w:rsid w:val="00471447"/>
    <w:rsid w:val="004718AF"/>
    <w:rsid w:val="00472830"/>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51438"/>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7795A"/>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5E0A"/>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5D2"/>
    <w:rsid w:val="00A446D3"/>
    <w:rsid w:val="00A44929"/>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7F4"/>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5BF9"/>
    <w:rsid w:val="00CD6B21"/>
    <w:rsid w:val="00CD6ED1"/>
    <w:rsid w:val="00CE0917"/>
    <w:rsid w:val="00CE09D0"/>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65AF6"/>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65AF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2</cp:revision>
  <cp:lastPrinted>2017-08-29T07:52:00Z</cp:lastPrinted>
  <dcterms:created xsi:type="dcterms:W3CDTF">2017-09-06T09:20:00Z</dcterms:created>
  <dcterms:modified xsi:type="dcterms:W3CDTF">2017-09-06T09:20:00Z</dcterms:modified>
</cp:coreProperties>
</file>