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w:t>
      </w:r>
      <w:r w:rsidR="005F1752">
        <w:rPr>
          <w:b/>
          <w:bCs/>
          <w:sz w:val="24"/>
          <w:u w:val="single"/>
        </w:rPr>
        <w:t>97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5F1752" w:rsidRPr="005F1752" w:rsidRDefault="005F1752" w:rsidP="005F1752">
      <w:pPr>
        <w:spacing w:before="100" w:beforeAutospacing="1" w:after="100" w:afterAutospacing="1" w:line="240" w:lineRule="auto"/>
        <w:ind w:left="709" w:hanging="709"/>
        <w:jc w:val="both"/>
        <w:rPr>
          <w:rFonts w:ascii="Arial" w:hAnsi="Arial" w:cs="Arial"/>
          <w:b/>
          <w:sz w:val="24"/>
          <w:szCs w:val="24"/>
          <w:u w:val="single"/>
          <w:lang w:val="en-US"/>
        </w:rPr>
      </w:pPr>
      <w:r w:rsidRPr="005F1752">
        <w:rPr>
          <w:rFonts w:ascii="Arial" w:hAnsi="Arial" w:cs="Arial"/>
          <w:b/>
          <w:sz w:val="24"/>
          <w:szCs w:val="24"/>
          <w:u w:val="single"/>
          <w:lang w:val="en-US"/>
        </w:rPr>
        <w:t>Ms T L Marawu (ATM) to ask the Minister of Health</w:t>
      </w:r>
      <w:r w:rsidR="004D6459" w:rsidRPr="005F1752">
        <w:rPr>
          <w:rFonts w:ascii="Arial" w:hAnsi="Arial" w:cs="Arial"/>
          <w:b/>
          <w:sz w:val="24"/>
          <w:szCs w:val="24"/>
          <w:u w:val="single"/>
          <w:lang w:val="en-US"/>
        </w:rPr>
        <w:fldChar w:fldCharType="begin"/>
      </w:r>
      <w:r w:rsidRPr="005F1752">
        <w:rPr>
          <w:rFonts w:ascii="Arial" w:hAnsi="Arial" w:cs="Arial"/>
          <w:u w:val="single"/>
        </w:rPr>
        <w:instrText xml:space="preserve"> XE "</w:instrText>
      </w:r>
      <w:r w:rsidRPr="005F1752">
        <w:rPr>
          <w:rFonts w:ascii="Arial" w:hAnsi="Arial" w:cs="Arial"/>
          <w:b/>
          <w:sz w:val="24"/>
          <w:szCs w:val="24"/>
          <w:u w:val="single"/>
          <w:lang w:val="en-US"/>
        </w:rPr>
        <w:instrText>Minister of Health</w:instrText>
      </w:r>
      <w:r w:rsidRPr="005F1752">
        <w:rPr>
          <w:rFonts w:ascii="Arial" w:hAnsi="Arial" w:cs="Arial"/>
          <w:u w:val="single"/>
        </w:rPr>
        <w:instrText xml:space="preserve">" </w:instrText>
      </w:r>
      <w:r w:rsidR="004D6459" w:rsidRPr="005F1752">
        <w:rPr>
          <w:rFonts w:ascii="Arial" w:hAnsi="Arial" w:cs="Arial"/>
          <w:b/>
          <w:sz w:val="24"/>
          <w:szCs w:val="24"/>
          <w:u w:val="single"/>
          <w:lang w:val="en-US"/>
        </w:rPr>
        <w:fldChar w:fldCharType="end"/>
      </w:r>
      <w:r w:rsidRPr="005F1752">
        <w:rPr>
          <w:rFonts w:ascii="Arial" w:hAnsi="Arial" w:cs="Arial"/>
          <w:b/>
          <w:sz w:val="24"/>
          <w:szCs w:val="24"/>
          <w:u w:val="single"/>
          <w:lang w:val="en-US"/>
        </w:rPr>
        <w:t>:</w:t>
      </w:r>
    </w:p>
    <w:p w:rsidR="005F1752" w:rsidRPr="005F1752" w:rsidRDefault="005F1752" w:rsidP="005F1752">
      <w:pPr>
        <w:spacing w:before="100" w:beforeAutospacing="1" w:after="100" w:afterAutospacing="1" w:line="240" w:lineRule="auto"/>
        <w:ind w:left="709" w:hanging="720"/>
        <w:jc w:val="both"/>
        <w:outlineLvl w:val="0"/>
        <w:rPr>
          <w:rFonts w:ascii="Arial" w:hAnsi="Arial" w:cs="Arial"/>
          <w:bCs/>
          <w:color w:val="222222"/>
          <w:sz w:val="24"/>
          <w:szCs w:val="24"/>
        </w:rPr>
      </w:pPr>
      <w:r w:rsidRPr="005F1752">
        <w:rPr>
          <w:rFonts w:ascii="Arial" w:hAnsi="Arial" w:cs="Arial"/>
          <w:bCs/>
          <w:color w:val="222222"/>
          <w:sz w:val="24"/>
          <w:szCs w:val="24"/>
        </w:rPr>
        <w:t>(1)</w:t>
      </w:r>
      <w:r w:rsidRPr="005F1752">
        <w:rPr>
          <w:rFonts w:ascii="Arial" w:hAnsi="Arial" w:cs="Arial"/>
          <w:bCs/>
          <w:color w:val="222222"/>
          <w:sz w:val="24"/>
          <w:szCs w:val="24"/>
        </w:rPr>
        <w:tab/>
        <w:t xml:space="preserve">Whether, with regard to the implementation of remedial action from the Public Protector’s report on </w:t>
      </w:r>
      <w:r w:rsidRPr="005F1752">
        <w:rPr>
          <w:rFonts w:ascii="Arial" w:hAnsi="Arial" w:cs="Arial"/>
          <w:bCs/>
          <w:iCs/>
          <w:color w:val="222222"/>
          <w:sz w:val="24"/>
          <w:szCs w:val="24"/>
        </w:rPr>
        <w:t>allegations</w:t>
      </w:r>
      <w:r w:rsidRPr="005F1752">
        <w:rPr>
          <w:rFonts w:ascii="Arial" w:hAnsi="Arial" w:cs="Arial"/>
          <w:bCs/>
          <w:color w:val="222222"/>
          <w:sz w:val="24"/>
          <w:szCs w:val="24"/>
        </w:rPr>
        <w:t xml:space="preserve"> of </w:t>
      </w:r>
      <w:r w:rsidRPr="005F1752">
        <w:rPr>
          <w:rFonts w:ascii="Arial" w:hAnsi="Arial" w:cs="Arial"/>
          <w:bCs/>
          <w:iCs/>
          <w:color w:val="222222"/>
          <w:sz w:val="24"/>
          <w:szCs w:val="24"/>
        </w:rPr>
        <w:t>undue delay</w:t>
      </w:r>
      <w:r w:rsidRPr="005F1752">
        <w:rPr>
          <w:rFonts w:ascii="Arial" w:hAnsi="Arial" w:cs="Arial"/>
          <w:bCs/>
          <w:color w:val="222222"/>
          <w:sz w:val="24"/>
          <w:szCs w:val="24"/>
        </w:rPr>
        <w:t xml:space="preserve"> by his department to </w:t>
      </w:r>
      <w:r w:rsidRPr="005F1752">
        <w:rPr>
          <w:rFonts w:ascii="Arial" w:hAnsi="Arial" w:cs="Arial"/>
          <w:bCs/>
          <w:iCs/>
          <w:color w:val="222222"/>
          <w:sz w:val="24"/>
          <w:szCs w:val="24"/>
        </w:rPr>
        <w:t>address</w:t>
      </w:r>
      <w:r w:rsidRPr="005F1752">
        <w:rPr>
          <w:rFonts w:ascii="Arial" w:hAnsi="Arial" w:cs="Arial"/>
          <w:bCs/>
          <w:color w:val="222222"/>
          <w:sz w:val="24"/>
          <w:szCs w:val="24"/>
        </w:rPr>
        <w:t xml:space="preserve"> the </w:t>
      </w:r>
      <w:r w:rsidRPr="005F1752">
        <w:rPr>
          <w:rFonts w:ascii="Arial" w:hAnsi="Arial" w:cs="Arial"/>
          <w:bCs/>
          <w:iCs/>
          <w:color w:val="222222"/>
          <w:sz w:val="24"/>
          <w:szCs w:val="24"/>
        </w:rPr>
        <w:t>challenges experienced</w:t>
      </w:r>
      <w:r w:rsidRPr="005F1752">
        <w:rPr>
          <w:rFonts w:ascii="Arial" w:hAnsi="Arial" w:cs="Arial"/>
          <w:bCs/>
          <w:color w:val="222222"/>
          <w:sz w:val="24"/>
          <w:szCs w:val="24"/>
        </w:rPr>
        <w:t xml:space="preserve"> by </w:t>
      </w:r>
      <w:r w:rsidRPr="005F1752">
        <w:rPr>
          <w:rFonts w:ascii="Arial" w:hAnsi="Arial" w:cs="Arial"/>
          <w:bCs/>
          <w:iCs/>
          <w:color w:val="222222"/>
          <w:sz w:val="24"/>
          <w:szCs w:val="24"/>
        </w:rPr>
        <w:t xml:space="preserve">Clinical Associates that was </w:t>
      </w:r>
      <w:r w:rsidRPr="005F1752">
        <w:rPr>
          <w:rFonts w:ascii="Arial" w:hAnsi="Arial" w:cs="Arial"/>
          <w:bCs/>
          <w:color w:val="222222"/>
          <w:sz w:val="24"/>
          <w:szCs w:val="24"/>
        </w:rPr>
        <w:t xml:space="preserve">released on 30 November 2021 (details furnished), his </w:t>
      </w:r>
      <w:r w:rsidRPr="005F1752">
        <w:rPr>
          <w:rFonts w:ascii="Arial" w:hAnsi="Arial" w:cs="Arial"/>
          <w:sz w:val="24"/>
          <w:szCs w:val="24"/>
        </w:rPr>
        <w:t>department</w:t>
      </w:r>
      <w:r w:rsidRPr="005F1752">
        <w:rPr>
          <w:rFonts w:ascii="Arial" w:hAnsi="Arial" w:cs="Arial"/>
          <w:bCs/>
          <w:color w:val="222222"/>
          <w:sz w:val="24"/>
          <w:szCs w:val="24"/>
        </w:rPr>
        <w:t xml:space="preserve"> has notified the Department of Public Service and Administration about the remedial actions recommended by the Public Protector; if not, why not; if so, </w:t>
      </w:r>
    </w:p>
    <w:p w:rsidR="002C2A10" w:rsidRPr="003C37AD" w:rsidRDefault="005F1752" w:rsidP="005F1752">
      <w:pPr>
        <w:spacing w:before="100" w:beforeAutospacing="1" w:after="100" w:afterAutospacing="1"/>
        <w:ind w:left="709" w:hanging="709"/>
        <w:jc w:val="both"/>
        <w:rPr>
          <w:rFonts w:ascii="Times New Roman" w:hAnsi="Times New Roman" w:cs="Times New Roman"/>
          <w:sz w:val="20"/>
          <w:szCs w:val="20"/>
        </w:rPr>
      </w:pPr>
      <w:r w:rsidRPr="005F1752">
        <w:rPr>
          <w:rFonts w:ascii="Arial" w:hAnsi="Arial" w:cs="Arial"/>
          <w:bCs/>
          <w:color w:val="222222"/>
          <w:sz w:val="24"/>
          <w:szCs w:val="24"/>
        </w:rPr>
        <w:t>(2)</w:t>
      </w:r>
      <w:r w:rsidRPr="005F1752">
        <w:rPr>
          <w:rFonts w:ascii="Arial" w:hAnsi="Arial" w:cs="Arial"/>
          <w:bCs/>
          <w:color w:val="222222"/>
          <w:sz w:val="24"/>
          <w:szCs w:val="24"/>
        </w:rPr>
        <w:tab/>
        <w:t>whether his department has made any progress in terms of implementation thereof; if not, what is the position in this regard; if so, what are the relevant details?</w:t>
      </w:r>
      <w:r>
        <w:rPr>
          <w:rFonts w:ascii="Times New Roman" w:hAnsi="Times New Roman" w:cs="Times New Roman"/>
          <w:bCs/>
          <w:color w:val="222222"/>
          <w:sz w:val="24"/>
          <w:szCs w:val="24"/>
        </w:rPr>
        <w:tab/>
      </w:r>
      <w:r>
        <w:rPr>
          <w:rFonts w:ascii="Times New Roman" w:hAnsi="Times New Roman" w:cs="Times New Roman"/>
          <w:bCs/>
          <w:color w:val="222222"/>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734</w:t>
      </w:r>
      <w:r w:rsidR="008C527F" w:rsidRPr="0020357C">
        <w:rPr>
          <w:rFonts w:ascii="Arial" w:hAnsi="Arial" w:cs="Arial"/>
          <w:b/>
          <w:bCs/>
          <w:sz w:val="12"/>
          <w:szCs w:val="12"/>
        </w:rPr>
        <w:t>E</w:t>
      </w:r>
    </w:p>
    <w:p w:rsidR="006228AA" w:rsidRPr="005E49AC"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5E49AC" w:rsidRDefault="005E49AC" w:rsidP="005E49AC">
      <w:pPr>
        <w:pStyle w:val="ListParagraph"/>
        <w:numPr>
          <w:ilvl w:val="0"/>
          <w:numId w:val="34"/>
        </w:numPr>
        <w:ind w:left="709" w:hanging="709"/>
        <w:jc w:val="both"/>
        <w:rPr>
          <w:rFonts w:ascii="Arial" w:hAnsi="Arial" w:cs="Arial"/>
          <w:sz w:val="24"/>
          <w:szCs w:val="24"/>
        </w:rPr>
      </w:pPr>
      <w:r w:rsidRPr="005E49AC">
        <w:rPr>
          <w:rFonts w:ascii="Arial" w:hAnsi="Arial" w:cs="Arial"/>
          <w:sz w:val="24"/>
          <w:szCs w:val="24"/>
        </w:rPr>
        <w:tab/>
        <w:t>The National Department of Health has held meeting(s) with the Department of Public Service and Administration to table the issues pertaining to the conditions of service for the Clinical Associates as raised in the Public Protector’s report</w:t>
      </w:r>
      <w:r>
        <w:rPr>
          <w:rFonts w:ascii="Arial" w:hAnsi="Arial" w:cs="Arial"/>
          <w:sz w:val="24"/>
          <w:szCs w:val="24"/>
        </w:rPr>
        <w:t>;</w:t>
      </w:r>
    </w:p>
    <w:p w:rsidR="005E49AC" w:rsidRDefault="005E49AC" w:rsidP="005E49AC">
      <w:pPr>
        <w:pStyle w:val="ListParagraph"/>
        <w:ind w:left="709"/>
        <w:jc w:val="both"/>
        <w:rPr>
          <w:rFonts w:ascii="Arial" w:hAnsi="Arial" w:cs="Arial"/>
          <w:sz w:val="24"/>
          <w:szCs w:val="24"/>
        </w:rPr>
      </w:pPr>
    </w:p>
    <w:p w:rsidR="005E49AC" w:rsidRPr="005E49AC" w:rsidRDefault="005E49AC" w:rsidP="005E49AC">
      <w:pPr>
        <w:pStyle w:val="ListParagraph"/>
        <w:numPr>
          <w:ilvl w:val="0"/>
          <w:numId w:val="34"/>
        </w:numPr>
        <w:ind w:left="709" w:hanging="709"/>
        <w:jc w:val="both"/>
        <w:rPr>
          <w:rFonts w:ascii="Arial" w:hAnsi="Arial" w:cs="Arial"/>
          <w:sz w:val="24"/>
          <w:szCs w:val="24"/>
        </w:rPr>
      </w:pPr>
      <w:r w:rsidRPr="005E49AC">
        <w:rPr>
          <w:rFonts w:ascii="Arial" w:hAnsi="Arial" w:cs="Arial"/>
          <w:sz w:val="24"/>
          <w:szCs w:val="24"/>
        </w:rPr>
        <w:t xml:space="preserve">Progress through different interventions is underway within the legal framework to implement recommendations of the Public Protector’s report. Albeit challenges, as conditions of services are transversal matters that affects other categories of employment. </w:t>
      </w:r>
    </w:p>
    <w:p w:rsidR="005E49AC" w:rsidRDefault="005E49AC" w:rsidP="005E49AC">
      <w:pPr>
        <w:pStyle w:val="NormalWeb"/>
        <w:shd w:val="clear" w:color="auto" w:fill="FFFFFF"/>
        <w:spacing w:before="0" w:beforeAutospacing="0" w:after="0" w:afterAutospacing="0"/>
        <w:ind w:left="1276" w:hanging="502"/>
        <w:jc w:val="both"/>
        <w:rPr>
          <w:rFonts w:ascii="Arial" w:hAnsi="Arial" w:cs="Arial"/>
          <w:color w:val="242424"/>
        </w:rPr>
      </w:pPr>
      <w:r w:rsidRPr="005E49AC">
        <w:rPr>
          <w:rFonts w:ascii="Arial" w:hAnsi="Arial" w:cs="Arial"/>
        </w:rPr>
        <w:t xml:space="preserve">-  </w:t>
      </w:r>
      <w:r w:rsidRPr="005E49AC">
        <w:rPr>
          <w:rFonts w:ascii="Arial" w:hAnsi="Arial" w:cs="Arial"/>
        </w:rPr>
        <w:tab/>
        <w:t xml:space="preserve">The process on Occupational Specific Dispensation (OSD) is dealt though a procedure lead by the Department of Public Service and Administration (DPSA). DPSA has commissioned </w:t>
      </w:r>
      <w:r w:rsidRPr="005E49AC">
        <w:rPr>
          <w:rFonts w:ascii="Arial" w:hAnsi="Arial" w:cs="Arial"/>
          <w:color w:val="242424"/>
          <w:bdr w:val="none" w:sz="0" w:space="0" w:color="auto" w:frame="1"/>
          <w:lang w:val="en-GB"/>
        </w:rPr>
        <w:t xml:space="preserve">Price Waterhouse Coopers (PWC) to conduct a Personnel Expenditure Review (PER), that includes the review of OSDs in the public sector. </w:t>
      </w:r>
      <w:r w:rsidRPr="005E49AC">
        <w:rPr>
          <w:rFonts w:ascii="Arial" w:hAnsi="Arial" w:cs="Arial"/>
          <w:color w:val="242424"/>
          <w:bdr w:val="none" w:sz="0" w:space="0" w:color="auto" w:frame="1"/>
        </w:rPr>
        <w:t xml:space="preserve">  The </w:t>
      </w:r>
      <w:r w:rsidRPr="005E49AC">
        <w:rPr>
          <w:rFonts w:ascii="Arial" w:hAnsi="Arial" w:cs="Arial"/>
          <w:color w:val="242424"/>
          <w:bdr w:val="none" w:sz="0" w:space="0" w:color="auto" w:frame="1"/>
          <w:lang w:val="en-GB"/>
        </w:rPr>
        <w:t>scope of the project, amongst others, includes a </w:t>
      </w:r>
      <w:r w:rsidRPr="005E49AC">
        <w:rPr>
          <w:rStyle w:val="markxz13bdsjj"/>
          <w:rFonts w:ascii="Arial" w:hAnsi="Arial" w:cs="Arial"/>
          <w:color w:val="242424"/>
          <w:bdr w:val="none" w:sz="0" w:space="0" w:color="auto" w:frame="1"/>
          <w:lang w:val="en-GB"/>
        </w:rPr>
        <w:t>review</w:t>
      </w:r>
      <w:r w:rsidRPr="005E49AC">
        <w:rPr>
          <w:rFonts w:ascii="Arial" w:hAnsi="Arial" w:cs="Arial"/>
          <w:color w:val="242424"/>
          <w:bdr w:val="none" w:sz="0" w:space="0" w:color="auto" w:frame="1"/>
          <w:lang w:val="en-GB"/>
        </w:rPr>
        <w:t> and analyse in the public sector covering the following functional areas- E</w:t>
      </w:r>
      <w:r w:rsidRPr="005E49AC">
        <w:rPr>
          <w:rFonts w:ascii="Arial" w:hAnsi="Arial" w:cs="Arial"/>
          <w:color w:val="242424"/>
        </w:rPr>
        <w:t xml:space="preserve">mployment trends, </w:t>
      </w:r>
      <w:r w:rsidRPr="005E49AC">
        <w:rPr>
          <w:rStyle w:val="markpqgbsmvma"/>
          <w:rFonts w:ascii="Arial" w:hAnsi="Arial" w:cs="Arial"/>
          <w:color w:val="242424"/>
          <w:bdr w:val="none" w:sz="0" w:space="0" w:color="auto" w:frame="1"/>
        </w:rPr>
        <w:t>personnel</w:t>
      </w:r>
      <w:r w:rsidRPr="005E49AC">
        <w:rPr>
          <w:rFonts w:ascii="Arial" w:hAnsi="Arial" w:cs="Arial"/>
          <w:color w:val="242424"/>
        </w:rPr>
        <w:t> </w:t>
      </w:r>
      <w:r w:rsidRPr="005E49AC">
        <w:rPr>
          <w:rStyle w:val="markn8rbsfvne"/>
          <w:rFonts w:ascii="Arial" w:hAnsi="Arial" w:cs="Arial"/>
          <w:color w:val="242424"/>
          <w:bdr w:val="none" w:sz="0" w:space="0" w:color="auto" w:frame="1"/>
        </w:rPr>
        <w:t>expenditure</w:t>
      </w:r>
      <w:r w:rsidRPr="005E49AC">
        <w:rPr>
          <w:rFonts w:ascii="Arial" w:hAnsi="Arial" w:cs="Arial"/>
          <w:color w:val="242424"/>
        </w:rPr>
        <w:t> and impact of the current in the public sector; Collective bargaining and wage setting mechanisms/ arrangements; and Allowances, Benefits and other incentives.</w:t>
      </w:r>
    </w:p>
    <w:p w:rsidR="005E49AC" w:rsidRDefault="005E49AC" w:rsidP="005E49AC">
      <w:pPr>
        <w:pStyle w:val="NormalWeb"/>
        <w:shd w:val="clear" w:color="auto" w:fill="FFFFFF"/>
        <w:spacing w:before="0" w:beforeAutospacing="0" w:after="0" w:afterAutospacing="0"/>
        <w:ind w:left="1276" w:hanging="502"/>
        <w:jc w:val="both"/>
        <w:rPr>
          <w:rFonts w:ascii="Arial" w:hAnsi="Arial" w:cs="Arial"/>
          <w:color w:val="242424"/>
        </w:rPr>
      </w:pPr>
    </w:p>
    <w:p w:rsidR="005E49AC" w:rsidRDefault="005E49AC" w:rsidP="005E49AC">
      <w:pPr>
        <w:pStyle w:val="NormalWeb"/>
        <w:shd w:val="clear" w:color="auto" w:fill="FFFFFF"/>
        <w:spacing w:before="0" w:beforeAutospacing="0" w:after="0" w:afterAutospacing="0"/>
        <w:ind w:left="1276" w:hanging="502"/>
        <w:jc w:val="both"/>
        <w:rPr>
          <w:rStyle w:val="contentpasted0"/>
          <w:rFonts w:ascii="Arial" w:hAnsi="Arial" w:cs="Arial"/>
          <w:color w:val="222222"/>
        </w:rPr>
      </w:pPr>
      <w:r>
        <w:rPr>
          <w:rFonts w:ascii="Arial" w:hAnsi="Arial" w:cs="Arial"/>
          <w:color w:val="242424"/>
        </w:rPr>
        <w:t>-</w:t>
      </w:r>
      <w:r>
        <w:rPr>
          <w:rFonts w:ascii="Arial" w:hAnsi="Arial" w:cs="Arial"/>
          <w:color w:val="242424"/>
        </w:rPr>
        <w:tab/>
      </w:r>
      <w:r w:rsidRPr="005E49AC">
        <w:rPr>
          <w:rFonts w:ascii="Arial" w:hAnsi="Arial" w:cs="Arial"/>
          <w:color w:val="242424"/>
          <w:bdr w:val="none" w:sz="0" w:space="0" w:color="auto" w:frame="1"/>
          <w:lang w:val="en-GB"/>
        </w:rPr>
        <w:t>Even though issues on Rural Allowance are included in the above process, the Policy on R</w:t>
      </w:r>
      <w:r w:rsidRPr="005E49AC">
        <w:rPr>
          <w:rStyle w:val="contentpasted0"/>
          <w:rFonts w:ascii="Arial" w:hAnsi="Arial" w:cs="Arial"/>
          <w:color w:val="222222"/>
        </w:rPr>
        <w:t>ural allowance is currently being reviewed at the Public Health and Social Development Sectoral Bargaining Council (PHSDSBC). This process is expected to will inform the continuation of Policy and address the issues mentioned in the Public Protector report.</w:t>
      </w:r>
    </w:p>
    <w:p w:rsidR="005E49AC" w:rsidRDefault="005E49AC" w:rsidP="005E49AC">
      <w:pPr>
        <w:pStyle w:val="NormalWeb"/>
        <w:shd w:val="clear" w:color="auto" w:fill="FFFFFF"/>
        <w:spacing w:before="0" w:beforeAutospacing="0" w:after="0" w:afterAutospacing="0"/>
        <w:ind w:left="1276" w:hanging="502"/>
        <w:jc w:val="both"/>
        <w:rPr>
          <w:rStyle w:val="contentpasted0"/>
          <w:rFonts w:ascii="Arial" w:hAnsi="Arial" w:cs="Arial"/>
          <w:color w:val="222222"/>
        </w:rPr>
      </w:pPr>
    </w:p>
    <w:p w:rsidR="005E49AC" w:rsidRDefault="005E49AC" w:rsidP="005E49AC">
      <w:pPr>
        <w:pStyle w:val="NormalWeb"/>
        <w:shd w:val="clear" w:color="auto" w:fill="FFFFFF"/>
        <w:spacing w:before="0" w:beforeAutospacing="0" w:after="0" w:afterAutospacing="0"/>
        <w:ind w:left="1276" w:hanging="502"/>
        <w:jc w:val="both"/>
        <w:rPr>
          <w:rStyle w:val="contentpasted0"/>
          <w:rFonts w:ascii="Arial" w:hAnsi="Arial" w:cs="Arial"/>
          <w:color w:val="222222"/>
        </w:rPr>
      </w:pPr>
    </w:p>
    <w:p w:rsidR="005E49AC" w:rsidRDefault="005E49AC" w:rsidP="005E49AC">
      <w:pPr>
        <w:pStyle w:val="NormalWeb"/>
        <w:shd w:val="clear" w:color="auto" w:fill="FFFFFF"/>
        <w:spacing w:before="0" w:beforeAutospacing="0" w:after="0" w:afterAutospacing="0"/>
        <w:ind w:left="1276" w:hanging="502"/>
        <w:jc w:val="both"/>
        <w:rPr>
          <w:rStyle w:val="contentpasted0"/>
          <w:rFonts w:ascii="Arial" w:hAnsi="Arial" w:cs="Arial"/>
          <w:color w:val="222222"/>
        </w:rPr>
      </w:pPr>
    </w:p>
    <w:p w:rsidR="00DC3D48" w:rsidRPr="005E49AC" w:rsidRDefault="005E49AC" w:rsidP="005E49AC">
      <w:pPr>
        <w:pStyle w:val="NormalWeb"/>
        <w:shd w:val="clear" w:color="auto" w:fill="FFFFFF"/>
        <w:spacing w:before="0" w:beforeAutospacing="0" w:after="0" w:afterAutospacing="0"/>
        <w:ind w:left="1276" w:hanging="502"/>
        <w:jc w:val="both"/>
        <w:rPr>
          <w:rFonts w:ascii="Arial" w:hAnsi="Arial" w:cs="Arial"/>
          <w:color w:val="242424"/>
        </w:rPr>
      </w:pPr>
      <w:r>
        <w:rPr>
          <w:rStyle w:val="contentpasted0"/>
          <w:rFonts w:ascii="Arial" w:hAnsi="Arial" w:cs="Arial"/>
          <w:color w:val="222222"/>
        </w:rPr>
        <w:lastRenderedPageBreak/>
        <w:t>-</w:t>
      </w:r>
      <w:r>
        <w:rPr>
          <w:rStyle w:val="contentpasted0"/>
          <w:rFonts w:ascii="Arial" w:hAnsi="Arial" w:cs="Arial"/>
          <w:color w:val="222222"/>
        </w:rPr>
        <w:tab/>
      </w:r>
      <w:r w:rsidRPr="005E49AC">
        <w:rPr>
          <w:rStyle w:val="contentpasted0"/>
          <w:rFonts w:ascii="Arial" w:hAnsi="Arial" w:cs="Arial"/>
          <w:color w:val="222222"/>
        </w:rPr>
        <w:t>The department has commenced with the process of reviewing the current commuted overtime policy, which will inform the continuation of the Policy and address the issues mentioned in the Public Protector report. In the meantime, Clinical Associates continue to benefit for Overtime like any other health related professional in accordance with conditions of services as outline in collective agreement in the Public Service Coordinating Bargaining Council (PSCBC) Resolution 3 of 1999 read together with DPSA Determination on the Management of Payment of Overtime</w:t>
      </w:r>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8A" w:rsidRDefault="00F20B8A" w:rsidP="00BF747C">
      <w:pPr>
        <w:spacing w:after="0" w:line="240" w:lineRule="auto"/>
      </w:pPr>
      <w:r>
        <w:separator/>
      </w:r>
    </w:p>
  </w:endnote>
  <w:endnote w:type="continuationSeparator" w:id="0">
    <w:p w:rsidR="00F20B8A" w:rsidRDefault="00F20B8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4D6459">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F20B8A">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8A" w:rsidRDefault="00F20B8A" w:rsidP="00BF747C">
      <w:pPr>
        <w:spacing w:after="0" w:line="240" w:lineRule="auto"/>
      </w:pPr>
      <w:r>
        <w:separator/>
      </w:r>
    </w:p>
  </w:footnote>
  <w:footnote w:type="continuationSeparator" w:id="0">
    <w:p w:rsidR="00F20B8A" w:rsidRDefault="00F20B8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7D5523"/>
    <w:multiLevelType w:val="hybridMultilevel"/>
    <w:tmpl w:val="4C0E193E"/>
    <w:lvl w:ilvl="0" w:tplc="A972F486">
      <w:start w:val="1"/>
      <w:numFmt w:val="decimal"/>
      <w:lvlText w:val="(%1)"/>
      <w:lvlJc w:val="left"/>
      <w:pPr>
        <w:ind w:left="270" w:hanging="360"/>
      </w:pPr>
      <w:rPr>
        <w:rFonts w:hint="default"/>
      </w:rPr>
    </w:lvl>
    <w:lvl w:ilvl="1" w:tplc="1C090019" w:tentative="1">
      <w:start w:val="1"/>
      <w:numFmt w:val="lowerLetter"/>
      <w:lvlText w:val="%2."/>
      <w:lvlJc w:val="left"/>
      <w:pPr>
        <w:ind w:left="990" w:hanging="360"/>
      </w:pPr>
    </w:lvl>
    <w:lvl w:ilvl="2" w:tplc="1C09001B" w:tentative="1">
      <w:start w:val="1"/>
      <w:numFmt w:val="lowerRoman"/>
      <w:lvlText w:val="%3."/>
      <w:lvlJc w:val="right"/>
      <w:pPr>
        <w:ind w:left="1710" w:hanging="180"/>
      </w:pPr>
    </w:lvl>
    <w:lvl w:ilvl="3" w:tplc="1C09000F" w:tentative="1">
      <w:start w:val="1"/>
      <w:numFmt w:val="decimal"/>
      <w:lvlText w:val="%4."/>
      <w:lvlJc w:val="left"/>
      <w:pPr>
        <w:ind w:left="2430" w:hanging="360"/>
      </w:pPr>
    </w:lvl>
    <w:lvl w:ilvl="4" w:tplc="1C090019" w:tentative="1">
      <w:start w:val="1"/>
      <w:numFmt w:val="lowerLetter"/>
      <w:lvlText w:val="%5."/>
      <w:lvlJc w:val="left"/>
      <w:pPr>
        <w:ind w:left="3150" w:hanging="360"/>
      </w:pPr>
    </w:lvl>
    <w:lvl w:ilvl="5" w:tplc="1C09001B" w:tentative="1">
      <w:start w:val="1"/>
      <w:numFmt w:val="lowerRoman"/>
      <w:lvlText w:val="%6."/>
      <w:lvlJc w:val="right"/>
      <w:pPr>
        <w:ind w:left="3870" w:hanging="180"/>
      </w:pPr>
    </w:lvl>
    <w:lvl w:ilvl="6" w:tplc="1C09000F" w:tentative="1">
      <w:start w:val="1"/>
      <w:numFmt w:val="decimal"/>
      <w:lvlText w:val="%7."/>
      <w:lvlJc w:val="left"/>
      <w:pPr>
        <w:ind w:left="4590" w:hanging="360"/>
      </w:pPr>
    </w:lvl>
    <w:lvl w:ilvl="7" w:tplc="1C090019" w:tentative="1">
      <w:start w:val="1"/>
      <w:numFmt w:val="lowerLetter"/>
      <w:lvlText w:val="%8."/>
      <w:lvlJc w:val="left"/>
      <w:pPr>
        <w:ind w:left="5310" w:hanging="360"/>
      </w:pPr>
    </w:lvl>
    <w:lvl w:ilvl="8" w:tplc="1C09001B" w:tentative="1">
      <w:start w:val="1"/>
      <w:numFmt w:val="lowerRoman"/>
      <w:lvlText w:val="%9."/>
      <w:lvlJc w:val="right"/>
      <w:pPr>
        <w:ind w:left="603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4"/>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4DC9"/>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3A69"/>
    <w:rsid w:val="00385FE7"/>
    <w:rsid w:val="003951CF"/>
    <w:rsid w:val="003B1818"/>
    <w:rsid w:val="003B2854"/>
    <w:rsid w:val="003C37AD"/>
    <w:rsid w:val="00406988"/>
    <w:rsid w:val="00412151"/>
    <w:rsid w:val="004166B5"/>
    <w:rsid w:val="004329F2"/>
    <w:rsid w:val="00437860"/>
    <w:rsid w:val="00446536"/>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6459"/>
    <w:rsid w:val="004E5B2F"/>
    <w:rsid w:val="004F4367"/>
    <w:rsid w:val="005233A4"/>
    <w:rsid w:val="00527131"/>
    <w:rsid w:val="005419B3"/>
    <w:rsid w:val="00546927"/>
    <w:rsid w:val="00555563"/>
    <w:rsid w:val="0056197A"/>
    <w:rsid w:val="005A4E67"/>
    <w:rsid w:val="005C3DC0"/>
    <w:rsid w:val="005D2583"/>
    <w:rsid w:val="005E20E3"/>
    <w:rsid w:val="005E49AC"/>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34A14"/>
    <w:rsid w:val="007408C8"/>
    <w:rsid w:val="007416CD"/>
    <w:rsid w:val="007645A8"/>
    <w:rsid w:val="007D7229"/>
    <w:rsid w:val="007E1F8F"/>
    <w:rsid w:val="007E4D87"/>
    <w:rsid w:val="007F0AE0"/>
    <w:rsid w:val="00811F25"/>
    <w:rsid w:val="008124CC"/>
    <w:rsid w:val="00865AA2"/>
    <w:rsid w:val="008B5385"/>
    <w:rsid w:val="008C527F"/>
    <w:rsid w:val="0092546E"/>
    <w:rsid w:val="00942EDC"/>
    <w:rsid w:val="00960E2D"/>
    <w:rsid w:val="00974689"/>
    <w:rsid w:val="00980949"/>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747C"/>
    <w:rsid w:val="00C057AA"/>
    <w:rsid w:val="00C213CB"/>
    <w:rsid w:val="00C2436E"/>
    <w:rsid w:val="00C36128"/>
    <w:rsid w:val="00C4392E"/>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26C1"/>
    <w:rsid w:val="00E45F7A"/>
    <w:rsid w:val="00E50004"/>
    <w:rsid w:val="00E5287A"/>
    <w:rsid w:val="00E55476"/>
    <w:rsid w:val="00E76019"/>
    <w:rsid w:val="00E84419"/>
    <w:rsid w:val="00EA7633"/>
    <w:rsid w:val="00EB3463"/>
    <w:rsid w:val="00EB790D"/>
    <w:rsid w:val="00EC5EED"/>
    <w:rsid w:val="00ED304B"/>
    <w:rsid w:val="00F00309"/>
    <w:rsid w:val="00F20B8A"/>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5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paragraph" w:styleId="NormalWeb">
    <w:name w:val="Normal (Web)"/>
    <w:basedOn w:val="Normal"/>
    <w:uiPriority w:val="99"/>
    <w:unhideWhenUsed/>
    <w:rsid w:val="005E49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arkxz13bdsjj">
    <w:name w:val="markxz13bdsjj"/>
    <w:basedOn w:val="DefaultParagraphFont"/>
    <w:rsid w:val="005E49AC"/>
  </w:style>
  <w:style w:type="character" w:customStyle="1" w:styleId="markpqgbsmvma">
    <w:name w:val="markpqgbsmvma"/>
    <w:basedOn w:val="DefaultParagraphFont"/>
    <w:rsid w:val="005E49AC"/>
  </w:style>
  <w:style w:type="character" w:customStyle="1" w:styleId="markn8rbsfvne">
    <w:name w:val="markn8rbsfvne"/>
    <w:basedOn w:val="DefaultParagraphFont"/>
    <w:rsid w:val="005E49A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2023-06-13T09:46:00Z</dcterms:created>
  <dcterms:modified xsi:type="dcterms:W3CDTF">2023-06-13T09:46:00Z</dcterms:modified>
</cp:coreProperties>
</file>