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53" w:rsidRPr="00AF4A53" w:rsidRDefault="00AF4A53" w:rsidP="00AF4A53">
      <w:pPr>
        <w:autoSpaceDE w:val="0"/>
        <w:autoSpaceDN w:val="0"/>
        <w:adjustRightInd w:val="0"/>
        <w:spacing w:after="0" w:line="240" w:lineRule="auto"/>
        <w:jc w:val="right"/>
        <w:rPr>
          <w:rFonts w:ascii="Arial" w:hAnsi="Arial" w:cs="Arial"/>
          <w:b/>
          <w:sz w:val="20"/>
          <w:szCs w:val="20"/>
        </w:rPr>
      </w:pPr>
      <w:r w:rsidRPr="00AF4A53">
        <w:rPr>
          <w:rFonts w:ascii="Arial" w:hAnsi="Arial" w:cs="Arial"/>
          <w:b/>
          <w:sz w:val="20"/>
          <w:szCs w:val="20"/>
        </w:rPr>
        <w:t>36/1/4/1 (201800166)</w:t>
      </w:r>
    </w:p>
    <w:p w:rsidR="00AF4A53" w:rsidRPr="00AF4A53" w:rsidRDefault="00AF4A53" w:rsidP="00AF4A53">
      <w:pPr>
        <w:autoSpaceDE w:val="0"/>
        <w:autoSpaceDN w:val="0"/>
        <w:adjustRightInd w:val="0"/>
        <w:spacing w:after="0" w:line="240" w:lineRule="auto"/>
        <w:rPr>
          <w:rFonts w:ascii="Arial" w:hAnsi="Arial" w:cs="Arial"/>
          <w:b/>
          <w:sz w:val="20"/>
          <w:szCs w:val="20"/>
        </w:rPr>
      </w:pPr>
    </w:p>
    <w:p w:rsidR="00AF4A53" w:rsidRPr="00AF4A53" w:rsidRDefault="00AF4A53" w:rsidP="00AF4A53">
      <w:pPr>
        <w:autoSpaceDE w:val="0"/>
        <w:autoSpaceDN w:val="0"/>
        <w:adjustRightInd w:val="0"/>
        <w:spacing w:after="0" w:line="240" w:lineRule="auto"/>
        <w:jc w:val="center"/>
        <w:rPr>
          <w:rFonts w:ascii="Arial" w:hAnsi="Arial" w:cs="Arial"/>
          <w:b/>
          <w:sz w:val="20"/>
          <w:szCs w:val="20"/>
        </w:rPr>
      </w:pPr>
      <w:r w:rsidRPr="00AF4A53">
        <w:rPr>
          <w:rFonts w:ascii="Arial" w:hAnsi="Arial" w:cs="Arial"/>
          <w:b/>
          <w:sz w:val="20"/>
          <w:szCs w:val="20"/>
        </w:rPr>
        <w:t>NATIONAL ASSEMBLY</w:t>
      </w:r>
    </w:p>
    <w:p w:rsidR="00AF4A53" w:rsidRPr="00AF4A53" w:rsidRDefault="00AF4A53" w:rsidP="00AF4A53">
      <w:pPr>
        <w:autoSpaceDE w:val="0"/>
        <w:autoSpaceDN w:val="0"/>
        <w:adjustRightInd w:val="0"/>
        <w:spacing w:after="0" w:line="240" w:lineRule="auto"/>
        <w:rPr>
          <w:rFonts w:ascii="Arial" w:hAnsi="Arial" w:cs="Arial"/>
          <w:b/>
          <w:sz w:val="20"/>
          <w:szCs w:val="20"/>
        </w:rPr>
      </w:pPr>
    </w:p>
    <w:p w:rsidR="00AF4A53" w:rsidRPr="00AF4A53" w:rsidRDefault="00AF4A53" w:rsidP="00AF4A53">
      <w:pPr>
        <w:autoSpaceDE w:val="0"/>
        <w:autoSpaceDN w:val="0"/>
        <w:adjustRightInd w:val="0"/>
        <w:spacing w:after="0" w:line="240" w:lineRule="auto"/>
        <w:rPr>
          <w:rFonts w:ascii="Arial" w:hAnsi="Arial" w:cs="Arial"/>
          <w:b/>
          <w:sz w:val="20"/>
          <w:szCs w:val="20"/>
        </w:rPr>
      </w:pPr>
      <w:r w:rsidRPr="00AF4A53">
        <w:rPr>
          <w:rFonts w:ascii="Arial" w:hAnsi="Arial" w:cs="Arial"/>
          <w:b/>
          <w:sz w:val="20"/>
          <w:szCs w:val="20"/>
        </w:rPr>
        <w:t>FOR WRITTEN REPLY</w:t>
      </w:r>
    </w:p>
    <w:p w:rsidR="00AF4A53" w:rsidRPr="00AF4A53" w:rsidRDefault="00AF4A53" w:rsidP="00AF4A53">
      <w:pPr>
        <w:autoSpaceDE w:val="0"/>
        <w:autoSpaceDN w:val="0"/>
        <w:adjustRightInd w:val="0"/>
        <w:spacing w:after="0" w:line="240" w:lineRule="auto"/>
        <w:rPr>
          <w:rFonts w:ascii="Arial" w:hAnsi="Arial" w:cs="Arial"/>
          <w:b/>
          <w:sz w:val="20"/>
          <w:szCs w:val="20"/>
        </w:rPr>
      </w:pPr>
    </w:p>
    <w:p w:rsidR="00AF4A53" w:rsidRPr="00AF4A53" w:rsidRDefault="00AF4A53" w:rsidP="00AF4A53">
      <w:pPr>
        <w:autoSpaceDE w:val="0"/>
        <w:autoSpaceDN w:val="0"/>
        <w:adjustRightInd w:val="0"/>
        <w:spacing w:after="0" w:line="240" w:lineRule="auto"/>
        <w:rPr>
          <w:rFonts w:ascii="Arial" w:hAnsi="Arial" w:cs="Arial"/>
          <w:b/>
          <w:sz w:val="20"/>
          <w:szCs w:val="20"/>
        </w:rPr>
      </w:pPr>
      <w:r w:rsidRPr="00AF4A53">
        <w:rPr>
          <w:rFonts w:ascii="Arial" w:hAnsi="Arial" w:cs="Arial"/>
          <w:b/>
          <w:sz w:val="20"/>
          <w:szCs w:val="20"/>
        </w:rPr>
        <w:t>QUESTION 1497</w:t>
      </w:r>
    </w:p>
    <w:p w:rsidR="00AF4A53" w:rsidRPr="00AF4A53" w:rsidRDefault="00AF4A53" w:rsidP="00AF4A53">
      <w:pPr>
        <w:autoSpaceDE w:val="0"/>
        <w:autoSpaceDN w:val="0"/>
        <w:adjustRightInd w:val="0"/>
        <w:spacing w:after="0" w:line="240" w:lineRule="auto"/>
        <w:rPr>
          <w:rFonts w:ascii="Arial" w:hAnsi="Arial" w:cs="Arial"/>
          <w:b/>
          <w:sz w:val="20"/>
          <w:szCs w:val="20"/>
        </w:rPr>
      </w:pPr>
    </w:p>
    <w:p w:rsidR="00AF4A53" w:rsidRPr="00AF4A53" w:rsidRDefault="00AF4A53" w:rsidP="00AF4A53">
      <w:pPr>
        <w:autoSpaceDE w:val="0"/>
        <w:autoSpaceDN w:val="0"/>
        <w:adjustRightInd w:val="0"/>
        <w:spacing w:after="0" w:line="240" w:lineRule="auto"/>
        <w:rPr>
          <w:rFonts w:ascii="Arial" w:hAnsi="Arial" w:cs="Arial"/>
          <w:b/>
          <w:sz w:val="20"/>
          <w:szCs w:val="20"/>
        </w:rPr>
      </w:pPr>
      <w:r w:rsidRPr="00AF4A53">
        <w:rPr>
          <w:rFonts w:ascii="Arial" w:hAnsi="Arial" w:cs="Arial"/>
          <w:b/>
          <w:sz w:val="20"/>
          <w:szCs w:val="20"/>
        </w:rPr>
        <w:t>DATE OF PUBLICATION IN INTERNAL QUESTION PAPER: 18 MAY 2018</w:t>
      </w:r>
    </w:p>
    <w:p w:rsidR="00AF4A53" w:rsidRPr="00AF4A53" w:rsidRDefault="00AF4A53" w:rsidP="00AF4A53">
      <w:pPr>
        <w:autoSpaceDE w:val="0"/>
        <w:autoSpaceDN w:val="0"/>
        <w:adjustRightInd w:val="0"/>
        <w:spacing w:after="0" w:line="240" w:lineRule="auto"/>
        <w:rPr>
          <w:rFonts w:ascii="Arial" w:hAnsi="Arial" w:cs="Arial"/>
          <w:b/>
          <w:sz w:val="20"/>
          <w:szCs w:val="20"/>
        </w:rPr>
      </w:pPr>
      <w:r w:rsidRPr="00AF4A53">
        <w:rPr>
          <w:rFonts w:ascii="Arial" w:hAnsi="Arial" w:cs="Arial"/>
          <w:b/>
          <w:sz w:val="20"/>
          <w:szCs w:val="20"/>
        </w:rPr>
        <w:t>(INTERNAL QUESTION PAPER NO 16-2018)</w:t>
      </w:r>
    </w:p>
    <w:p w:rsidR="00AF4A53" w:rsidRPr="00AF4A53" w:rsidRDefault="00AF4A53" w:rsidP="00AF4A53">
      <w:pPr>
        <w:autoSpaceDE w:val="0"/>
        <w:autoSpaceDN w:val="0"/>
        <w:adjustRightInd w:val="0"/>
        <w:spacing w:after="0" w:line="240" w:lineRule="auto"/>
        <w:rPr>
          <w:rFonts w:ascii="Arial" w:hAnsi="Arial" w:cs="Arial"/>
          <w:b/>
          <w:sz w:val="20"/>
          <w:szCs w:val="20"/>
        </w:rPr>
      </w:pPr>
    </w:p>
    <w:p w:rsidR="00AF4A53" w:rsidRPr="00AF4A53" w:rsidRDefault="00AF4A53" w:rsidP="00AF4A53">
      <w:pPr>
        <w:autoSpaceDE w:val="0"/>
        <w:autoSpaceDN w:val="0"/>
        <w:adjustRightInd w:val="0"/>
        <w:spacing w:after="0" w:line="240" w:lineRule="auto"/>
        <w:rPr>
          <w:rFonts w:ascii="Arial" w:hAnsi="Arial" w:cs="Arial"/>
          <w:sz w:val="20"/>
          <w:szCs w:val="20"/>
        </w:rPr>
      </w:pPr>
      <w:r w:rsidRPr="00AF4A53">
        <w:rPr>
          <w:rFonts w:ascii="Arial" w:hAnsi="Arial" w:cs="Arial"/>
          <w:b/>
          <w:sz w:val="20"/>
          <w:szCs w:val="20"/>
        </w:rPr>
        <w:t>1497. Dr P J Groenewald (FF Plus) to ask the Minister of Police:</w:t>
      </w:r>
      <w:r w:rsidRPr="00AF4A53">
        <w:rPr>
          <w:rFonts w:ascii="Arial" w:hAnsi="Arial" w:cs="Arial"/>
          <w:sz w:val="20"/>
          <w:szCs w:val="20"/>
        </w:rPr>
        <w:br/>
      </w:r>
      <w:r w:rsidRPr="00AF4A53">
        <w:rPr>
          <w:rFonts w:ascii="Arial" w:hAnsi="Arial" w:cs="Arial"/>
          <w:sz w:val="20"/>
          <w:szCs w:val="20"/>
        </w:rPr>
        <w:br/>
        <w:t>(1) (a)(</w:t>
      </w:r>
      <w:proofErr w:type="spellStart"/>
      <w:r w:rsidRPr="00AF4A53">
        <w:rPr>
          <w:rFonts w:ascii="Arial" w:hAnsi="Arial" w:cs="Arial"/>
          <w:sz w:val="20"/>
          <w:szCs w:val="20"/>
        </w:rPr>
        <w:t>i</w:t>
      </w:r>
      <w:proofErr w:type="spellEnd"/>
      <w:r w:rsidRPr="00AF4A53">
        <w:rPr>
          <w:rFonts w:ascii="Arial" w:hAnsi="Arial" w:cs="Arial"/>
          <w:sz w:val="20"/>
          <w:szCs w:val="20"/>
        </w:rPr>
        <w:t>) How many cases of alleged illegal abalone poaching were reported to the SA Police Service (SAPS) in each year during the period 1 January 2013 up to the latest specified date for which information is available and (ii) what quantity of abalone was confiscated by the SAPS in each specified year and (b) what happened to the confiscated abalone;</w:t>
      </w:r>
      <w:r w:rsidRPr="00AF4A53">
        <w:rPr>
          <w:rFonts w:ascii="Arial" w:hAnsi="Arial" w:cs="Arial"/>
          <w:sz w:val="20"/>
          <w:szCs w:val="20"/>
        </w:rPr>
        <w:br/>
      </w:r>
      <w:r w:rsidRPr="00AF4A53">
        <w:rPr>
          <w:rFonts w:ascii="Arial" w:hAnsi="Arial" w:cs="Arial"/>
          <w:sz w:val="20"/>
          <w:szCs w:val="20"/>
        </w:rPr>
        <w:br/>
        <w:t>(2) (a) how many (</w:t>
      </w:r>
      <w:proofErr w:type="spellStart"/>
      <w:r w:rsidRPr="00AF4A53">
        <w:rPr>
          <w:rFonts w:ascii="Arial" w:hAnsi="Arial" w:cs="Arial"/>
          <w:sz w:val="20"/>
          <w:szCs w:val="20"/>
        </w:rPr>
        <w:t>i</w:t>
      </w:r>
      <w:proofErr w:type="spellEnd"/>
      <w:r w:rsidRPr="00AF4A53">
        <w:rPr>
          <w:rFonts w:ascii="Arial" w:hAnsi="Arial" w:cs="Arial"/>
          <w:sz w:val="20"/>
          <w:szCs w:val="20"/>
        </w:rPr>
        <w:t>) persons were arrested in each specified year in this regard and (ii) of the specified arrests were successfully prosecuted and (b) what did the sentence amount to in each case;</w:t>
      </w:r>
      <w:r w:rsidRPr="00AF4A53">
        <w:rPr>
          <w:rFonts w:ascii="Arial" w:hAnsi="Arial" w:cs="Arial"/>
          <w:sz w:val="20"/>
          <w:szCs w:val="20"/>
        </w:rPr>
        <w:br/>
      </w:r>
      <w:r w:rsidRPr="00AF4A53">
        <w:rPr>
          <w:rFonts w:ascii="Arial" w:hAnsi="Arial" w:cs="Arial"/>
          <w:sz w:val="20"/>
          <w:szCs w:val="20"/>
        </w:rPr>
        <w:br/>
        <w:t>(3) whether any SAPS officials were alleged to have been involved in any illegal abalone poaching in the specified period; if so, what are the relevant details in each case;</w:t>
      </w:r>
      <w:r w:rsidRPr="00AF4A53">
        <w:rPr>
          <w:rFonts w:ascii="Arial" w:hAnsi="Arial" w:cs="Arial"/>
          <w:sz w:val="20"/>
          <w:szCs w:val="20"/>
        </w:rPr>
        <w:br/>
      </w:r>
      <w:r w:rsidRPr="00AF4A53">
        <w:rPr>
          <w:rFonts w:ascii="Arial" w:hAnsi="Arial" w:cs="Arial"/>
          <w:sz w:val="20"/>
          <w:szCs w:val="20"/>
        </w:rPr>
        <w:br/>
        <w:t>(4) what measures has his department instituted to curb the illegal poaching of abalone and other marine resources;</w:t>
      </w:r>
      <w:r w:rsidRPr="00AF4A53">
        <w:rPr>
          <w:rFonts w:ascii="Arial" w:hAnsi="Arial" w:cs="Arial"/>
          <w:sz w:val="20"/>
          <w:szCs w:val="20"/>
        </w:rPr>
        <w:br/>
      </w:r>
      <w:r w:rsidRPr="00AF4A53">
        <w:rPr>
          <w:rFonts w:ascii="Arial" w:hAnsi="Arial" w:cs="Arial"/>
          <w:sz w:val="20"/>
          <w:szCs w:val="20"/>
        </w:rPr>
        <w:br/>
        <w:t>(5) whether he will make a statement on the matter?</w:t>
      </w:r>
      <w:r w:rsidRPr="00AF4A53">
        <w:rPr>
          <w:rFonts w:ascii="Arial" w:hAnsi="Arial" w:cs="Arial"/>
          <w:sz w:val="20"/>
          <w:szCs w:val="20"/>
        </w:rPr>
        <w:br/>
      </w:r>
      <w:r w:rsidRPr="00AF4A53">
        <w:rPr>
          <w:rFonts w:ascii="Arial" w:hAnsi="Arial" w:cs="Arial"/>
          <w:sz w:val="20"/>
          <w:szCs w:val="20"/>
        </w:rPr>
        <w:br/>
        <w:t>NW1633E</w:t>
      </w:r>
    </w:p>
    <w:p w:rsidR="00844E3E" w:rsidRPr="00AF4A53" w:rsidRDefault="00AF4A53" w:rsidP="00AF4A53">
      <w:pPr>
        <w:autoSpaceDE w:val="0"/>
        <w:autoSpaceDN w:val="0"/>
        <w:adjustRightInd w:val="0"/>
        <w:spacing w:after="0" w:line="240" w:lineRule="auto"/>
        <w:rPr>
          <w:rFonts w:ascii="Arial" w:hAnsi="Arial" w:cs="Arial"/>
          <w:sz w:val="20"/>
          <w:szCs w:val="20"/>
        </w:rPr>
      </w:pPr>
      <w:r w:rsidRPr="00AF4A53">
        <w:rPr>
          <w:rFonts w:ascii="Arial" w:hAnsi="Arial" w:cs="Arial"/>
          <w:sz w:val="20"/>
          <w:szCs w:val="20"/>
        </w:rPr>
        <w:br/>
      </w:r>
      <w:r w:rsidRPr="00AF4A53">
        <w:rPr>
          <w:rFonts w:ascii="Arial" w:hAnsi="Arial" w:cs="Arial"/>
          <w:b/>
          <w:sz w:val="20"/>
          <w:szCs w:val="20"/>
        </w:rPr>
        <w:t>REPLY</w:t>
      </w:r>
      <w:proofErr w:type="gramStart"/>
      <w:r w:rsidRPr="00AF4A53">
        <w:rPr>
          <w:rFonts w:ascii="Arial" w:hAnsi="Arial" w:cs="Arial"/>
          <w:b/>
          <w:sz w:val="20"/>
          <w:szCs w:val="20"/>
        </w:rPr>
        <w:t>:</w:t>
      </w:r>
      <w:proofErr w:type="gramEnd"/>
      <w:r w:rsidRPr="00AF4A53">
        <w:rPr>
          <w:rFonts w:ascii="Arial" w:hAnsi="Arial" w:cs="Arial"/>
          <w:sz w:val="20"/>
          <w:szCs w:val="20"/>
        </w:rPr>
        <w:br/>
      </w:r>
      <w:r w:rsidRPr="00AF4A53">
        <w:rPr>
          <w:rFonts w:ascii="Arial" w:hAnsi="Arial" w:cs="Arial"/>
          <w:sz w:val="20"/>
          <w:szCs w:val="20"/>
        </w:rPr>
        <w:br/>
        <w:t>(1)(a)(</w:t>
      </w:r>
      <w:proofErr w:type="spellStart"/>
      <w:r w:rsidRPr="00AF4A53">
        <w:rPr>
          <w:rFonts w:ascii="Arial" w:hAnsi="Arial" w:cs="Arial"/>
          <w:sz w:val="20"/>
          <w:szCs w:val="20"/>
        </w:rPr>
        <w:t>i</w:t>
      </w:r>
      <w:proofErr w:type="spellEnd"/>
      <w:r w:rsidRPr="00AF4A53">
        <w:rPr>
          <w:rFonts w:ascii="Arial" w:hAnsi="Arial" w:cs="Arial"/>
          <w:sz w:val="20"/>
          <w:szCs w:val="20"/>
        </w:rPr>
        <w:t>)(ii)</w:t>
      </w:r>
    </w:p>
    <w:p w:rsidR="00AF4A53" w:rsidRPr="00AF4A53" w:rsidRDefault="00AF4A53" w:rsidP="00AF4A53">
      <w:pPr>
        <w:autoSpaceDE w:val="0"/>
        <w:autoSpaceDN w:val="0"/>
        <w:adjustRightInd w:val="0"/>
        <w:spacing w:after="0" w:line="240" w:lineRule="auto"/>
        <w:rPr>
          <w:rFonts w:ascii="Arial" w:hAnsi="Arial" w:cs="Arial"/>
          <w:sz w:val="20"/>
          <w:szCs w:val="20"/>
        </w:rPr>
      </w:pPr>
    </w:p>
    <w:tbl>
      <w:tblPr>
        <w:tblStyle w:val="TableGrid"/>
        <w:tblW w:w="0" w:type="auto"/>
        <w:tblLook w:val="04A0"/>
      </w:tblPr>
      <w:tblGrid>
        <w:gridCol w:w="1539"/>
        <w:gridCol w:w="1540"/>
        <w:gridCol w:w="1540"/>
        <w:gridCol w:w="1541"/>
        <w:gridCol w:w="1541"/>
        <w:gridCol w:w="1541"/>
      </w:tblGrid>
      <w:tr w:rsidR="00AF4A53" w:rsidRPr="00AF4A53" w:rsidTr="00AF4A53">
        <w:tc>
          <w:tcPr>
            <w:tcW w:w="3080"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2013</w:t>
            </w:r>
          </w:p>
        </w:tc>
        <w:tc>
          <w:tcPr>
            <w:tcW w:w="3081"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2014</w:t>
            </w:r>
          </w:p>
        </w:tc>
        <w:tc>
          <w:tcPr>
            <w:tcW w:w="3081"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2015</w:t>
            </w:r>
          </w:p>
        </w:tc>
      </w:tr>
      <w:tr w:rsidR="00AF4A53" w:rsidRPr="00AF4A53" w:rsidTr="00AF4A53">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c>
          <w:tcPr>
            <w:tcW w:w="1541"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1"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r>
      <w:tr w:rsidR="00AF4A53" w:rsidRPr="00AF4A53" w:rsidTr="00AF4A53">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8</w:t>
            </w:r>
          </w:p>
        </w:tc>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11995,70 kg</w:t>
            </w:r>
          </w:p>
        </w:tc>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5</w:t>
            </w:r>
          </w:p>
        </w:tc>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11471 kg</w:t>
            </w:r>
          </w:p>
        </w:tc>
        <w:tc>
          <w:tcPr>
            <w:tcW w:w="1541"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9</w:t>
            </w:r>
          </w:p>
        </w:tc>
        <w:tc>
          <w:tcPr>
            <w:tcW w:w="1541"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11906,02 kg</w:t>
            </w:r>
          </w:p>
        </w:tc>
      </w:tr>
    </w:tbl>
    <w:p w:rsidR="00AF4A53" w:rsidRPr="00AF4A53" w:rsidRDefault="00AF4A53" w:rsidP="00AF4A53">
      <w:pPr>
        <w:autoSpaceDE w:val="0"/>
        <w:autoSpaceDN w:val="0"/>
        <w:adjustRightInd w:val="0"/>
        <w:spacing w:after="0" w:line="240" w:lineRule="auto"/>
        <w:rPr>
          <w:rFonts w:ascii="Arial" w:hAnsi="Arial" w:cs="Arial"/>
          <w:sz w:val="20"/>
          <w:szCs w:val="20"/>
        </w:rPr>
      </w:pPr>
      <w:r w:rsidRPr="00AF4A53">
        <w:rPr>
          <w:rFonts w:ascii="Arial" w:hAnsi="Arial" w:cs="Arial"/>
          <w:sz w:val="20"/>
          <w:szCs w:val="20"/>
        </w:rPr>
        <w:br/>
      </w:r>
    </w:p>
    <w:tbl>
      <w:tblPr>
        <w:tblStyle w:val="TableGrid"/>
        <w:tblW w:w="0" w:type="auto"/>
        <w:tblLook w:val="04A0"/>
      </w:tblPr>
      <w:tblGrid>
        <w:gridCol w:w="1539"/>
        <w:gridCol w:w="1540"/>
        <w:gridCol w:w="1540"/>
        <w:gridCol w:w="1541"/>
        <w:gridCol w:w="1541"/>
        <w:gridCol w:w="1541"/>
      </w:tblGrid>
      <w:tr w:rsidR="00AF4A53" w:rsidRPr="00AF4A53" w:rsidTr="00AF4A53">
        <w:tc>
          <w:tcPr>
            <w:tcW w:w="3079"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2016</w:t>
            </w:r>
          </w:p>
        </w:tc>
        <w:tc>
          <w:tcPr>
            <w:tcW w:w="3081"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2017</w:t>
            </w:r>
          </w:p>
        </w:tc>
        <w:tc>
          <w:tcPr>
            <w:tcW w:w="3082" w:type="dxa"/>
            <w:gridSpan w:val="2"/>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2018</w:t>
            </w:r>
          </w:p>
        </w:tc>
      </w:tr>
      <w:tr w:rsidR="00AF4A53" w:rsidRPr="00AF4A53" w:rsidTr="00AF4A53">
        <w:tc>
          <w:tcPr>
            <w:tcW w:w="1539"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c>
          <w:tcPr>
            <w:tcW w:w="1540"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1"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c>
          <w:tcPr>
            <w:tcW w:w="1541"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Number of Cases</w:t>
            </w:r>
          </w:p>
        </w:tc>
        <w:tc>
          <w:tcPr>
            <w:tcW w:w="1541" w:type="dxa"/>
          </w:tcPr>
          <w:p w:rsidR="00AF4A53" w:rsidRPr="00AF4A53" w:rsidRDefault="00AF4A53" w:rsidP="00AF4A53">
            <w:pPr>
              <w:autoSpaceDE w:val="0"/>
              <w:autoSpaceDN w:val="0"/>
              <w:adjustRightInd w:val="0"/>
              <w:jc w:val="center"/>
              <w:rPr>
                <w:rFonts w:ascii="Arial" w:hAnsi="Arial" w:cs="Arial"/>
                <w:b/>
                <w:sz w:val="20"/>
                <w:szCs w:val="20"/>
              </w:rPr>
            </w:pPr>
            <w:r w:rsidRPr="00AF4A53">
              <w:rPr>
                <w:rFonts w:ascii="Arial" w:hAnsi="Arial" w:cs="Arial"/>
                <w:b/>
                <w:sz w:val="20"/>
                <w:szCs w:val="20"/>
              </w:rPr>
              <w:t>Quantity Confiscated</w:t>
            </w:r>
          </w:p>
        </w:tc>
      </w:tr>
      <w:tr w:rsidR="00AF4A53" w:rsidRPr="00AF4A53" w:rsidTr="00AF4A53">
        <w:tc>
          <w:tcPr>
            <w:tcW w:w="1539"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12</w:t>
            </w:r>
          </w:p>
        </w:tc>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8809,42 ka</w:t>
            </w:r>
          </w:p>
        </w:tc>
        <w:tc>
          <w:tcPr>
            <w:tcW w:w="1540"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7</w:t>
            </w:r>
          </w:p>
        </w:tc>
        <w:tc>
          <w:tcPr>
            <w:tcW w:w="1541"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6326,30 ka</w:t>
            </w:r>
          </w:p>
        </w:tc>
        <w:tc>
          <w:tcPr>
            <w:tcW w:w="1541"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2</w:t>
            </w:r>
          </w:p>
        </w:tc>
        <w:tc>
          <w:tcPr>
            <w:tcW w:w="1541" w:type="dxa"/>
          </w:tcPr>
          <w:p w:rsidR="00AF4A53" w:rsidRPr="00AF4A53" w:rsidRDefault="00AF4A53" w:rsidP="00AF4A53">
            <w:pPr>
              <w:autoSpaceDE w:val="0"/>
              <w:autoSpaceDN w:val="0"/>
              <w:adjustRightInd w:val="0"/>
              <w:rPr>
                <w:rFonts w:ascii="Arial" w:hAnsi="Arial" w:cs="Arial"/>
                <w:sz w:val="20"/>
                <w:szCs w:val="20"/>
              </w:rPr>
            </w:pPr>
            <w:r w:rsidRPr="00AF4A53">
              <w:rPr>
                <w:rFonts w:ascii="Arial" w:hAnsi="Arial" w:cs="Arial"/>
                <w:sz w:val="20"/>
                <w:szCs w:val="20"/>
              </w:rPr>
              <w:t>1536,50 ka</w:t>
            </w:r>
          </w:p>
        </w:tc>
      </w:tr>
    </w:tbl>
    <w:p w:rsidR="00AF4A53" w:rsidRPr="00AF4A53" w:rsidRDefault="00AF4A53" w:rsidP="00AF4A53">
      <w:pPr>
        <w:autoSpaceDE w:val="0"/>
        <w:autoSpaceDN w:val="0"/>
        <w:adjustRightInd w:val="0"/>
        <w:spacing w:after="0" w:line="240" w:lineRule="auto"/>
        <w:rPr>
          <w:rFonts w:ascii="Arial" w:hAnsi="Arial" w:cs="Arial"/>
          <w:sz w:val="20"/>
          <w:szCs w:val="20"/>
        </w:rPr>
      </w:pPr>
    </w:p>
    <w:p w:rsidR="00AF4A53" w:rsidRPr="00AF4A53" w:rsidRDefault="00AF4A53" w:rsidP="00AF4A53">
      <w:pPr>
        <w:autoSpaceDE w:val="0"/>
        <w:autoSpaceDN w:val="0"/>
        <w:adjustRightInd w:val="0"/>
        <w:spacing w:after="0" w:line="240" w:lineRule="auto"/>
        <w:rPr>
          <w:rFonts w:ascii="Arial" w:hAnsi="Arial" w:cs="Arial"/>
          <w:sz w:val="20"/>
          <w:szCs w:val="20"/>
        </w:rPr>
      </w:pPr>
      <w:r w:rsidRPr="00AF4A53">
        <w:rPr>
          <w:rFonts w:ascii="Arial" w:hAnsi="Arial" w:cs="Arial"/>
          <w:sz w:val="20"/>
          <w:szCs w:val="20"/>
        </w:rPr>
        <w:t>(1)(b) The abalone is handed over to the Department of Agriculture, Fisheries and Forestry (Marine and Coastal Management), in terms of the Marine Living Resource Act, 1998 (Act No 18 of 1998).</w:t>
      </w:r>
      <w:r>
        <w:rPr>
          <w:rFonts w:ascii="Arial" w:hAnsi="Arial" w:cs="Arial"/>
          <w:sz w:val="20"/>
          <w:szCs w:val="20"/>
        </w:rPr>
        <w:br/>
      </w:r>
      <w:r>
        <w:rPr>
          <w:rFonts w:ascii="Arial" w:hAnsi="Arial" w:cs="Arial"/>
          <w:sz w:val="20"/>
          <w:szCs w:val="20"/>
        </w:rPr>
        <w:br/>
      </w:r>
      <w:hyperlink r:id="rId4" w:history="1">
        <w:r w:rsidRPr="00EA1C71">
          <w:rPr>
            <w:rStyle w:val="Hyperlink"/>
            <w:rFonts w:ascii="Arial" w:hAnsi="Arial" w:cs="Arial"/>
            <w:b/>
            <w:sz w:val="20"/>
            <w:szCs w:val="20"/>
          </w:rPr>
          <w:t>Please find here: (2</w:t>
        </w:r>
        <w:proofErr w:type="gramStart"/>
        <w:r w:rsidRPr="00EA1C71">
          <w:rPr>
            <w:rStyle w:val="Hyperlink"/>
            <w:rFonts w:ascii="Arial" w:hAnsi="Arial" w:cs="Arial"/>
            <w:b/>
            <w:sz w:val="20"/>
            <w:szCs w:val="20"/>
          </w:rPr>
          <w:t>)(</w:t>
        </w:r>
        <w:proofErr w:type="gramEnd"/>
        <w:r w:rsidRPr="00EA1C71">
          <w:rPr>
            <w:rStyle w:val="Hyperlink"/>
            <w:rFonts w:ascii="Arial" w:hAnsi="Arial" w:cs="Arial"/>
            <w:b/>
            <w:sz w:val="20"/>
            <w:szCs w:val="20"/>
          </w:rPr>
          <w:t>a)(</w:t>
        </w:r>
        <w:proofErr w:type="spellStart"/>
        <w:r w:rsidRPr="00EA1C71">
          <w:rPr>
            <w:rStyle w:val="Hyperlink"/>
            <w:rFonts w:ascii="Arial" w:hAnsi="Arial" w:cs="Arial"/>
            <w:b/>
            <w:sz w:val="20"/>
            <w:szCs w:val="20"/>
          </w:rPr>
          <w:t>i</w:t>
        </w:r>
        <w:proofErr w:type="spellEnd"/>
        <w:r w:rsidRPr="00EA1C71">
          <w:rPr>
            <w:rStyle w:val="Hyperlink"/>
            <w:rFonts w:ascii="Arial" w:hAnsi="Arial" w:cs="Arial"/>
            <w:b/>
            <w:sz w:val="20"/>
            <w:szCs w:val="20"/>
          </w:rPr>
          <w:t>)(ii)(b)</w:t>
        </w:r>
      </w:hyperlink>
      <w:r>
        <w:rPr>
          <w:rFonts w:ascii="Arial" w:hAnsi="Arial" w:cs="Arial"/>
          <w:sz w:val="20"/>
          <w:szCs w:val="20"/>
        </w:rPr>
        <w:br/>
      </w:r>
    </w:p>
    <w:sectPr w:rsidR="00AF4A53" w:rsidRPr="00AF4A53" w:rsidSect="002668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F4A53"/>
    <w:rsid w:val="002668EB"/>
    <w:rsid w:val="00844E3E"/>
    <w:rsid w:val="008E4298"/>
    <w:rsid w:val="00AF4A53"/>
    <w:rsid w:val="00C00DB2"/>
    <w:rsid w:val="00EA1C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1C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497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1557</Characters>
  <Application>Microsoft Office Word</Application>
  <DocSecurity>0</DocSecurity>
  <Lines>12</Lines>
  <Paragraphs>3</Paragraphs>
  <ScaleCrop>false</ScaleCrop>
  <Company>Proline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2019-03-29T11:53:00Z</dcterms:created>
  <dcterms:modified xsi:type="dcterms:W3CDTF">2019-03-29T12:13:00Z</dcterms:modified>
</cp:coreProperties>
</file>