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sidR="00B1228A">
        <w:rPr>
          <w:rFonts w:ascii="Arial" w:hAnsi="Arial" w:cs="Arial"/>
          <w:sz w:val="18"/>
          <w:szCs w:val="18"/>
          <w:lang w:val="en-ZA"/>
        </w:rPr>
        <w:t xml:space="preserve"> 02 March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450931">
        <w:rPr>
          <w:rFonts w:ascii="Arial" w:hAnsi="Arial" w:cs="Arial"/>
          <w:b/>
          <w:lang w:val="en-ZA"/>
        </w:rPr>
        <w:t xml:space="preserve"> 1</w:t>
      </w:r>
      <w:r w:rsidR="00E70CF0">
        <w:rPr>
          <w:rFonts w:ascii="Arial" w:hAnsi="Arial" w:cs="Arial"/>
          <w:b/>
          <w:lang w:val="en-ZA"/>
        </w:rPr>
        <w:t>49</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134A4F">
        <w:rPr>
          <w:rFonts w:ascii="Arial" w:hAnsi="Arial" w:cs="Arial"/>
          <w:sz w:val="22"/>
          <w:szCs w:val="22"/>
          <w:lang w:val="en-ZA"/>
        </w:rPr>
        <w:t>11 February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134A4F">
        <w:rPr>
          <w:rFonts w:ascii="Arial" w:hAnsi="Arial" w:cs="Arial"/>
          <w:sz w:val="22"/>
          <w:szCs w:val="22"/>
          <w:lang w:val="en-ZA"/>
        </w:rPr>
        <w:t>01</w:t>
      </w:r>
    </w:p>
    <w:p w:rsidR="00E1671A" w:rsidRPr="009548CF" w:rsidRDefault="00E1671A" w:rsidP="00E1671A">
      <w:pPr>
        <w:rPr>
          <w:rFonts w:ascii="Arial" w:hAnsi="Arial" w:cs="Arial"/>
          <w:sz w:val="22"/>
          <w:szCs w:val="22"/>
          <w:lang w:val="en-ZA"/>
        </w:rPr>
      </w:pPr>
    </w:p>
    <w:p w:rsidR="00E70CF0" w:rsidRPr="00E70CF0" w:rsidRDefault="00E70CF0" w:rsidP="00E70CF0">
      <w:pPr>
        <w:spacing w:before="100" w:beforeAutospacing="1" w:after="100" w:afterAutospacing="1"/>
        <w:ind w:left="709" w:hanging="720"/>
        <w:jc w:val="both"/>
        <w:outlineLvl w:val="0"/>
        <w:rPr>
          <w:rFonts w:ascii="Arial" w:eastAsiaTheme="minorHAnsi" w:hAnsi="Arial" w:cs="Arial"/>
          <w:b/>
          <w:bCs/>
          <w:lang w:val="af-ZA"/>
        </w:rPr>
      </w:pPr>
      <w:r w:rsidRPr="00E70CF0">
        <w:rPr>
          <w:rFonts w:ascii="Arial" w:eastAsiaTheme="minorHAnsi" w:hAnsi="Arial" w:cs="Arial"/>
          <w:b/>
          <w:bCs/>
          <w:lang w:val="af-ZA"/>
        </w:rPr>
        <w:t>149.</w:t>
      </w:r>
      <w:r w:rsidRPr="00E70CF0">
        <w:rPr>
          <w:rFonts w:ascii="Arial" w:eastAsiaTheme="minorHAnsi" w:hAnsi="Arial" w:cs="Arial"/>
          <w:b/>
          <w:bCs/>
          <w:lang w:val="af-ZA"/>
        </w:rPr>
        <w:tab/>
        <w:t>Ms K de Kock (DA) to ask the Minister of Social Development:</w:t>
      </w:r>
    </w:p>
    <w:p w:rsidR="00E70CF0" w:rsidRPr="00E70CF0" w:rsidRDefault="00E70CF0" w:rsidP="00E70CF0">
      <w:pPr>
        <w:tabs>
          <w:tab w:val="left" w:pos="432"/>
          <w:tab w:val="left" w:pos="720"/>
        </w:tabs>
        <w:spacing w:before="100" w:beforeAutospacing="1" w:after="100" w:afterAutospacing="1"/>
        <w:jc w:val="both"/>
        <w:rPr>
          <w:rFonts w:ascii="Arial" w:eastAsia="Calibri" w:hAnsi="Arial" w:cs="Arial"/>
          <w:lang w:val="en-ZA"/>
        </w:rPr>
      </w:pPr>
      <w:r w:rsidRPr="00E70CF0">
        <w:rPr>
          <w:rFonts w:ascii="Arial" w:eastAsia="Calibri" w:hAnsi="Arial" w:cs="Arial"/>
        </w:rPr>
        <w:t>(a) How many lawyers have been (</w:t>
      </w:r>
      <w:proofErr w:type="spellStart"/>
      <w:r w:rsidRPr="00E70CF0">
        <w:rPr>
          <w:rFonts w:ascii="Arial" w:eastAsia="Calibri" w:hAnsi="Arial" w:cs="Arial"/>
        </w:rPr>
        <w:t>i</w:t>
      </w:r>
      <w:proofErr w:type="spellEnd"/>
      <w:r w:rsidRPr="00E70CF0">
        <w:rPr>
          <w:rFonts w:ascii="Arial" w:eastAsia="Calibri" w:hAnsi="Arial" w:cs="Arial"/>
        </w:rPr>
        <w:t xml:space="preserve">) reported to the law societies and (ii) successfully prosecuted for (aa) hiding the must-mediate requirement of section 6(4) of the Children's </w:t>
      </w:r>
      <w:r w:rsidRPr="00E70CF0">
        <w:rPr>
          <w:rFonts w:ascii="Arial" w:hAnsi="Arial" w:cs="Arial"/>
        </w:rPr>
        <w:t>Act</w:t>
      </w:r>
      <w:r w:rsidRPr="00E70CF0">
        <w:rPr>
          <w:rFonts w:ascii="Arial" w:eastAsia="Calibri" w:hAnsi="Arial" w:cs="Arial"/>
        </w:rPr>
        <w:t>, Act 38 of 2005, from their divorcing clients and (bb) for selling a litigation strategy, and (b) what is her department doing to close the gaps and enforce the Act to protect children in divorces?</w:t>
      </w:r>
      <w:r w:rsidRPr="00E70CF0">
        <w:rPr>
          <w:rFonts w:ascii="Arial" w:eastAsia="Calibri" w:hAnsi="Arial" w:cs="Arial"/>
          <w:lang w:val="en-ZA"/>
        </w:rPr>
        <w:tab/>
      </w:r>
      <w:r w:rsidRPr="00E70CF0">
        <w:rPr>
          <w:rFonts w:ascii="Arial" w:eastAsia="Calibri" w:hAnsi="Arial" w:cs="Arial"/>
          <w:lang w:val="en-ZA"/>
        </w:rPr>
        <w:tab/>
      </w:r>
      <w:r w:rsidRPr="00E70CF0">
        <w:rPr>
          <w:rFonts w:ascii="Arial" w:eastAsia="Calibri" w:hAnsi="Arial" w:cs="Arial"/>
          <w:lang w:val="en-ZA"/>
        </w:rPr>
        <w:tab/>
      </w:r>
      <w:r w:rsidRPr="00E70CF0">
        <w:rPr>
          <w:rFonts w:ascii="Arial" w:eastAsia="Calibri" w:hAnsi="Arial" w:cs="Arial"/>
          <w:lang w:val="en-ZA"/>
        </w:rPr>
        <w:tab/>
      </w:r>
      <w:r w:rsidRPr="00E70CF0">
        <w:rPr>
          <w:rFonts w:ascii="Arial" w:eastAsia="Calibri" w:hAnsi="Arial" w:cs="Arial"/>
          <w:lang w:val="en-ZA"/>
        </w:rPr>
        <w:tab/>
      </w:r>
      <w:r>
        <w:rPr>
          <w:rFonts w:ascii="Arial" w:eastAsia="Calibri" w:hAnsi="Arial" w:cs="Arial"/>
          <w:lang w:val="en-ZA"/>
        </w:rPr>
        <w:t xml:space="preserve">    </w:t>
      </w:r>
      <w:r w:rsidRPr="00E70CF0">
        <w:rPr>
          <w:rFonts w:ascii="Arial" w:eastAsiaTheme="minorHAnsi" w:hAnsi="Arial" w:cs="Arial"/>
          <w:sz w:val="20"/>
          <w:szCs w:val="20"/>
          <w:lang w:val="af-ZA"/>
        </w:rPr>
        <w:t>NW149E</w:t>
      </w:r>
    </w:p>
    <w:p w:rsidR="00497C19" w:rsidRPr="00F807FB" w:rsidRDefault="00497C19" w:rsidP="00497C19">
      <w:pPr>
        <w:spacing w:before="100" w:beforeAutospacing="1" w:after="100" w:afterAutospacing="1"/>
        <w:ind w:left="709" w:hanging="709"/>
        <w:jc w:val="both"/>
        <w:rPr>
          <w:rFonts w:ascii="Arial" w:hAnsi="Arial" w:cs="Arial"/>
          <w:sz w:val="20"/>
          <w:szCs w:val="20"/>
        </w:rPr>
      </w:pPr>
    </w:p>
    <w:p w:rsidR="00C75E7B" w:rsidRDefault="004A3A81" w:rsidP="00B7108B">
      <w:pPr>
        <w:tabs>
          <w:tab w:val="left" w:pos="1335"/>
        </w:tabs>
        <w:rPr>
          <w:rFonts w:ascii="Arial" w:hAnsi="Arial" w:cs="Arial"/>
          <w:b/>
        </w:rPr>
      </w:pPr>
      <w:r w:rsidRPr="006C5F96">
        <w:rPr>
          <w:rFonts w:ascii="Arial" w:hAnsi="Arial" w:cs="Arial"/>
          <w:b/>
        </w:rPr>
        <w:t>Reply:</w:t>
      </w:r>
    </w:p>
    <w:p w:rsidR="00C75E7B" w:rsidRDefault="00C75E7B" w:rsidP="00B7108B">
      <w:pPr>
        <w:tabs>
          <w:tab w:val="left" w:pos="1335"/>
        </w:tabs>
        <w:rPr>
          <w:rFonts w:ascii="Arial" w:hAnsi="Arial" w:cs="Arial"/>
          <w:b/>
        </w:rPr>
      </w:pPr>
      <w:bookmarkStart w:id="0" w:name="_GoBack"/>
      <w:bookmarkEnd w:id="0"/>
    </w:p>
    <w:p w:rsidR="001577EE" w:rsidRDefault="001577EE" w:rsidP="00B7108B">
      <w:pPr>
        <w:tabs>
          <w:tab w:val="left" w:pos="1335"/>
        </w:tabs>
        <w:rPr>
          <w:rFonts w:ascii="Arial" w:hAnsi="Arial" w:cs="Arial"/>
          <w:b/>
        </w:rPr>
      </w:pPr>
    </w:p>
    <w:p w:rsidR="00D572FD" w:rsidRPr="008B213C" w:rsidRDefault="00B1228A" w:rsidP="008B213C">
      <w:pPr>
        <w:pStyle w:val="ListParagraph"/>
        <w:numPr>
          <w:ilvl w:val="0"/>
          <w:numId w:val="8"/>
        </w:numPr>
        <w:tabs>
          <w:tab w:val="left" w:pos="1335"/>
        </w:tabs>
        <w:jc w:val="both"/>
        <w:rPr>
          <w:rFonts w:ascii="Arial" w:hAnsi="Arial" w:cs="Arial"/>
        </w:rPr>
      </w:pPr>
      <w:r w:rsidRPr="008B213C">
        <w:rPr>
          <w:rFonts w:ascii="Arial" w:hAnsi="Arial" w:cs="Arial"/>
        </w:rPr>
        <w:t>There are no lawyers (</w:t>
      </w:r>
      <w:proofErr w:type="spellStart"/>
      <w:r w:rsidRPr="008B213C">
        <w:rPr>
          <w:rFonts w:ascii="Arial" w:hAnsi="Arial" w:cs="Arial"/>
        </w:rPr>
        <w:t>i</w:t>
      </w:r>
      <w:proofErr w:type="spellEnd"/>
      <w:r w:rsidRPr="008B213C">
        <w:rPr>
          <w:rFonts w:ascii="Arial" w:hAnsi="Arial" w:cs="Arial"/>
        </w:rPr>
        <w:t>) who have been reported to the law society and (ii) successfully prosecuted for (aa) hiding the must-mediate requirement of section 6(4) of the Children’s Act, 2005 (Act No. 38 of 2005), from their divorcing clients and (bb) for selling a litigation strategy. A relationship between a client and his or her legal representative is privileged and therefore it is not possible for the Department to be aware of the conducts in question unless it is reported to the Department by either the clients or some other whistle blower who has inside information. In this regard, no cases have so far been reported to the Department. (b) The protection of children involved in a divorce is regulated by section 6 of the Divorce Act, 1979 (Act No. 70 of 1979) section 4 of the Mediation in Certain Divorce Matters Act, 1987 (Act No. 24 of 1987). It is therefore</w:t>
      </w:r>
      <w:r w:rsidR="008B213C" w:rsidRPr="008B213C">
        <w:rPr>
          <w:rFonts w:ascii="Arial" w:hAnsi="Arial" w:cs="Arial"/>
        </w:rPr>
        <w:t xml:space="preserve"> not necessary for this matter to be regulated under the Children’s Act.</w:t>
      </w:r>
    </w:p>
    <w:sectPr w:rsidR="00D572FD" w:rsidRPr="008B213C"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8E" w:rsidRDefault="0077028E" w:rsidP="0050056C">
      <w:pPr>
        <w:pStyle w:val="BodyTextIndent"/>
        <w:spacing w:line="240" w:lineRule="auto"/>
      </w:pPr>
      <w:r>
        <w:separator/>
      </w:r>
    </w:p>
  </w:endnote>
  <w:endnote w:type="continuationSeparator" w:id="0">
    <w:p w:rsidR="0077028E" w:rsidRDefault="007702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8B213C">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8E" w:rsidRDefault="0077028E" w:rsidP="0050056C">
      <w:pPr>
        <w:pStyle w:val="BodyTextIndent"/>
        <w:spacing w:line="240" w:lineRule="auto"/>
      </w:pPr>
      <w:r>
        <w:separator/>
      </w:r>
    </w:p>
  </w:footnote>
  <w:footnote w:type="continuationSeparator" w:id="0">
    <w:p w:rsidR="0077028E" w:rsidRDefault="0077028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21F38C2"/>
    <w:multiLevelType w:val="hybridMultilevel"/>
    <w:tmpl w:val="7908B154"/>
    <w:lvl w:ilvl="0" w:tplc="CC9AD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213C"/>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1111"/>
    <w:rsid w:val="00AF3AF5"/>
    <w:rsid w:val="00B00586"/>
    <w:rsid w:val="00B06CBB"/>
    <w:rsid w:val="00B10541"/>
    <w:rsid w:val="00B113F3"/>
    <w:rsid w:val="00B11DCA"/>
    <w:rsid w:val="00B1228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62048"/>
    <w:rsid w:val="00E6392C"/>
    <w:rsid w:val="00E65D08"/>
    <w:rsid w:val="00E70CF0"/>
    <w:rsid w:val="00E73E11"/>
    <w:rsid w:val="00E75768"/>
    <w:rsid w:val="00E82C8A"/>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53F0-D015-4218-945D-9A87472C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233</cp:revision>
  <dcterms:created xsi:type="dcterms:W3CDTF">2013-02-18T09:08:00Z</dcterms:created>
  <dcterms:modified xsi:type="dcterms:W3CDTF">2016-03-02T08:22:00Z</dcterms:modified>
</cp:coreProperties>
</file>