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40677E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1424FB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1424FB">
        <w:rPr>
          <w:rFonts w:ascii="Arial" w:hAnsi="Arial" w:cs="Arial"/>
          <w:b/>
        </w:rPr>
        <w:t xml:space="preserve">NATIONAL </w:t>
      </w:r>
      <w:r w:rsidR="002D3CF5" w:rsidRPr="001424FB">
        <w:rPr>
          <w:rFonts w:ascii="Arial" w:hAnsi="Arial" w:cs="Arial"/>
          <w:b/>
        </w:rPr>
        <w:t>ASSEMBLY</w:t>
      </w:r>
    </w:p>
    <w:p w:rsidR="002034E0" w:rsidRPr="001424FB" w:rsidRDefault="002034E0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  <w:r w:rsidRPr="001424FB">
        <w:rPr>
          <w:rFonts w:ascii="Arial" w:hAnsi="Arial" w:cs="Arial"/>
          <w:b/>
        </w:rPr>
        <w:t>QUESTION FOR WRITTEN REPLY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  <w:r w:rsidRPr="001424FB">
        <w:rPr>
          <w:rFonts w:ascii="Arial" w:hAnsi="Arial" w:cs="Arial"/>
          <w:b/>
        </w:rPr>
        <w:t>QUESTION NUMBER: 1487 [NW1629E]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  <w:r w:rsidRPr="001424FB">
        <w:rPr>
          <w:rFonts w:ascii="Arial" w:hAnsi="Arial" w:cs="Arial"/>
          <w:b/>
        </w:rPr>
        <w:t>DATE OF PUBLICATION: 26 MAY 2017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p w:rsidR="009026C6" w:rsidRPr="001424FB" w:rsidRDefault="009026C6" w:rsidP="009026C6">
      <w:pPr>
        <w:spacing w:before="100" w:beforeAutospacing="1" w:after="100" w:afterAutospacing="1"/>
        <w:ind w:left="816" w:hanging="816"/>
        <w:rPr>
          <w:rFonts w:ascii="Arial" w:eastAsia="Calibri" w:hAnsi="Arial" w:cs="Arial"/>
          <w:lang w:val="en-ZA"/>
        </w:rPr>
      </w:pPr>
      <w:proofErr w:type="gramStart"/>
      <w:r w:rsidRPr="001424FB">
        <w:rPr>
          <w:rFonts w:ascii="Arial" w:eastAsia="Calibri" w:hAnsi="Arial" w:cs="Arial"/>
          <w:b/>
          <w:lang w:val="en-ZA"/>
        </w:rPr>
        <w:t>1487.</w:t>
      </w:r>
      <w:r w:rsidRPr="001424FB">
        <w:rPr>
          <w:rFonts w:ascii="Arial" w:eastAsia="Calibri" w:hAnsi="Arial" w:cs="Arial"/>
          <w:b/>
          <w:lang w:val="en-ZA"/>
        </w:rPr>
        <w:tab/>
        <w:t xml:space="preserve">Dr A </w:t>
      </w:r>
      <w:proofErr w:type="spellStart"/>
      <w:r w:rsidRPr="001424FB">
        <w:rPr>
          <w:rFonts w:ascii="Arial" w:eastAsia="Calibri" w:hAnsi="Arial" w:cs="Arial"/>
          <w:b/>
          <w:lang w:val="en-ZA"/>
        </w:rPr>
        <w:t>Lotriet</w:t>
      </w:r>
      <w:proofErr w:type="spellEnd"/>
      <w:r w:rsidRPr="001424FB">
        <w:rPr>
          <w:rFonts w:ascii="Arial" w:eastAsia="Calibri" w:hAnsi="Arial" w:cs="Arial"/>
          <w:b/>
          <w:lang w:val="en-ZA"/>
        </w:rPr>
        <w:t xml:space="preserve"> (DA)</w:t>
      </w:r>
      <w:proofErr w:type="gramEnd"/>
      <w:r w:rsidRPr="001424FB">
        <w:rPr>
          <w:rFonts w:ascii="Arial" w:eastAsia="Calibri" w:hAnsi="Arial" w:cs="Arial"/>
          <w:b/>
          <w:lang w:val="en-ZA"/>
        </w:rPr>
        <w:t xml:space="preserve"> to ask the Minister of Finance:</w:t>
      </w:r>
    </w:p>
    <w:p w:rsidR="009026C6" w:rsidRPr="001424FB" w:rsidRDefault="009026C6" w:rsidP="009026C6">
      <w:pPr>
        <w:spacing w:before="100" w:beforeAutospacing="1" w:after="100" w:afterAutospacing="1"/>
        <w:ind w:left="811"/>
        <w:jc w:val="both"/>
        <w:outlineLvl w:val="0"/>
        <w:rPr>
          <w:rFonts w:ascii="Arial" w:eastAsia="Calibri" w:hAnsi="Arial" w:cs="Arial"/>
          <w:lang w:val="en-ZA"/>
        </w:rPr>
      </w:pPr>
      <w:r w:rsidRPr="001424FB">
        <w:rPr>
          <w:rFonts w:ascii="Arial" w:eastAsia="Calibri" w:hAnsi="Arial" w:cs="Arial"/>
          <w:color w:val="000000"/>
          <w:lang w:val="en-ZA"/>
        </w:rPr>
        <w:t xml:space="preserve">Whether (a) the National Treasury and (b) each entity reporting to him procured any services from and/or made any payments to (i) a certain </w:t>
      </w:r>
      <w:r w:rsidRPr="001424FB">
        <w:rPr>
          <w:rFonts w:ascii="Arial" w:eastAsia="Calibri" w:hAnsi="Arial" w:cs="Arial"/>
          <w:lang w:val="af-ZA"/>
        </w:rPr>
        <w:t>company</w:t>
      </w:r>
      <w:r w:rsidRPr="001424FB">
        <w:rPr>
          <w:rFonts w:ascii="Arial" w:eastAsia="Calibri" w:hAnsi="Arial" w:cs="Arial"/>
          <w:color w:val="000000"/>
          <w:lang w:val="en-ZA"/>
        </w:rPr>
        <w:t xml:space="preserve"> (</w:t>
      </w:r>
      <w:r w:rsidRPr="001424FB">
        <w:rPr>
          <w:rFonts w:ascii="Arial" w:eastAsia="Calibri" w:hAnsi="Arial" w:cs="Arial"/>
          <w:color w:val="FF0000"/>
          <w:lang w:val="en-ZA"/>
        </w:rPr>
        <w:t>BELL POTTINGER</w:t>
      </w:r>
      <w:r w:rsidRPr="001424FB">
        <w:rPr>
          <w:rFonts w:ascii="Arial" w:eastAsia="Calibri" w:hAnsi="Arial" w:cs="Arial"/>
          <w:color w:val="000000"/>
          <w:lang w:val="en-ZA"/>
        </w:rPr>
        <w:t>) or (ii) any other public relations firms; if not, in each case, why not; if so, in each case, what (aa) services were procured, (bb) was the total cost, (cc) is the detailed breakdown of such costs, (</w:t>
      </w:r>
      <w:proofErr w:type="spellStart"/>
      <w:r w:rsidRPr="001424FB">
        <w:rPr>
          <w:rFonts w:ascii="Arial" w:eastAsia="Calibri" w:hAnsi="Arial" w:cs="Arial"/>
          <w:color w:val="000000"/>
          <w:lang w:val="en-ZA"/>
        </w:rPr>
        <w:t>dd</w:t>
      </w:r>
      <w:proofErr w:type="spellEnd"/>
      <w:r w:rsidRPr="001424FB">
        <w:rPr>
          <w:rFonts w:ascii="Arial" w:eastAsia="Calibri" w:hAnsi="Arial" w:cs="Arial"/>
          <w:color w:val="000000"/>
          <w:lang w:val="en-ZA"/>
        </w:rPr>
        <w:t>) was the total amount paid, (</w:t>
      </w:r>
      <w:proofErr w:type="spellStart"/>
      <w:r w:rsidRPr="001424FB">
        <w:rPr>
          <w:rFonts w:ascii="Arial" w:eastAsia="Calibri" w:hAnsi="Arial" w:cs="Arial"/>
          <w:color w:val="000000"/>
          <w:lang w:val="en-ZA"/>
        </w:rPr>
        <w:t>ee</w:t>
      </w:r>
      <w:proofErr w:type="spellEnd"/>
      <w:r w:rsidRPr="001424FB">
        <w:rPr>
          <w:rFonts w:ascii="Arial" w:eastAsia="Calibri" w:hAnsi="Arial" w:cs="Arial"/>
          <w:color w:val="000000"/>
          <w:lang w:val="en-ZA"/>
        </w:rPr>
        <w:t>) was the purpose of the payments and (</w:t>
      </w:r>
      <w:proofErr w:type="spellStart"/>
      <w:r w:rsidRPr="001424FB">
        <w:rPr>
          <w:rFonts w:ascii="Arial" w:eastAsia="Calibri" w:hAnsi="Arial" w:cs="Arial"/>
          <w:color w:val="000000"/>
          <w:lang w:val="en-ZA"/>
        </w:rPr>
        <w:t>ff</w:t>
      </w:r>
      <w:proofErr w:type="spellEnd"/>
      <w:r w:rsidRPr="001424FB">
        <w:rPr>
          <w:rFonts w:ascii="Arial" w:eastAsia="Calibri" w:hAnsi="Arial" w:cs="Arial"/>
          <w:color w:val="000000"/>
          <w:lang w:val="en-ZA"/>
        </w:rPr>
        <w:t>) is the detailed breakdown of such payments</w:t>
      </w:r>
      <w:r w:rsidRPr="001424FB">
        <w:rPr>
          <w:rFonts w:ascii="Arial" w:eastAsia="Calibri" w:hAnsi="Arial" w:cs="Arial"/>
          <w:lang w:val="en-ZA"/>
        </w:rPr>
        <w:t>?</w:t>
      </w:r>
      <w:r w:rsidRPr="001424FB">
        <w:rPr>
          <w:rFonts w:ascii="Arial" w:eastAsia="Calibri" w:hAnsi="Arial" w:cs="Arial"/>
          <w:lang w:val="en-ZA"/>
        </w:rPr>
        <w:tab/>
      </w:r>
    </w:p>
    <w:p w:rsidR="009026C6" w:rsidRPr="001424FB" w:rsidRDefault="009026C6" w:rsidP="009026C6">
      <w:pPr>
        <w:spacing w:before="100" w:beforeAutospacing="1" w:after="100" w:afterAutospacing="1"/>
        <w:ind w:left="811"/>
        <w:jc w:val="both"/>
        <w:outlineLvl w:val="0"/>
        <w:rPr>
          <w:rFonts w:ascii="Arial" w:eastAsia="Calibri" w:hAnsi="Arial" w:cs="Arial"/>
          <w:lang w:val="en-ZA"/>
        </w:rPr>
      </w:pP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</w:r>
      <w:r w:rsidRPr="001424FB">
        <w:rPr>
          <w:rFonts w:ascii="Arial" w:eastAsia="Calibri" w:hAnsi="Arial" w:cs="Arial"/>
          <w:lang w:val="en-ZA"/>
        </w:rPr>
        <w:tab/>
        <w:t>NW1629E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 w:rsidRPr="001424FB">
        <w:rPr>
          <w:rFonts w:ascii="Arial" w:hAnsi="Arial" w:cs="Arial"/>
          <w:b/>
        </w:rPr>
        <w:t>REPLY: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  <w:r w:rsidRPr="001424FB">
        <w:rPr>
          <w:rFonts w:ascii="Arial" w:hAnsi="Arial" w:cs="Arial"/>
          <w:b/>
        </w:rPr>
        <w:t>National Treasury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p w:rsidR="009026C6" w:rsidRPr="001424FB" w:rsidRDefault="009026C6" w:rsidP="009026C6">
      <w:pPr>
        <w:numPr>
          <w:ilvl w:val="0"/>
          <w:numId w:val="4"/>
        </w:numPr>
        <w:tabs>
          <w:tab w:val="left" w:pos="432"/>
          <w:tab w:val="left" w:pos="864"/>
        </w:tabs>
        <w:spacing w:after="200" w:line="276" w:lineRule="auto"/>
        <w:ind w:hanging="720"/>
        <w:contextualSpacing/>
        <w:rPr>
          <w:rFonts w:ascii="Arial" w:hAnsi="Arial" w:cs="Arial"/>
        </w:rPr>
      </w:pPr>
      <w:r w:rsidRPr="001424FB">
        <w:rPr>
          <w:rFonts w:ascii="Arial" w:hAnsi="Arial" w:cs="Arial"/>
        </w:rPr>
        <w:t>(i)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None</w:t>
      </w:r>
    </w:p>
    <w:p w:rsidR="009026C6" w:rsidRPr="001424FB" w:rsidRDefault="009026C6" w:rsidP="009026C6">
      <w:pPr>
        <w:numPr>
          <w:ilvl w:val="0"/>
          <w:numId w:val="5"/>
        </w:numPr>
        <w:tabs>
          <w:tab w:val="left" w:pos="432"/>
          <w:tab w:val="left" w:pos="864"/>
        </w:tabs>
        <w:spacing w:after="200" w:line="276" w:lineRule="auto"/>
        <w:ind w:hanging="720"/>
        <w:contextualSpacing/>
        <w:rPr>
          <w:rFonts w:ascii="Arial" w:hAnsi="Arial" w:cs="Arial"/>
        </w:rPr>
      </w:pPr>
      <w:r w:rsidRPr="001424FB">
        <w:rPr>
          <w:rFonts w:ascii="Arial" w:hAnsi="Arial" w:cs="Arial"/>
        </w:rPr>
        <w:t>(ii)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N/A</w:t>
      </w:r>
    </w:p>
    <w:p w:rsidR="004707BA" w:rsidRPr="001424FB" w:rsidRDefault="004707BA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:rsidR="0005447B" w:rsidRPr="001424FB" w:rsidRDefault="004707BA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ab/>
      </w:r>
      <w:r w:rsidRPr="001424FB">
        <w:rPr>
          <w:rFonts w:ascii="Arial" w:hAnsi="Arial" w:cs="Arial"/>
          <w:b/>
          <w:lang w:val="en-GB"/>
        </w:rPr>
        <w:tab/>
      </w:r>
    </w:p>
    <w:p w:rsidR="005A2799" w:rsidRPr="001424FB" w:rsidRDefault="004707BA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ab/>
      </w:r>
      <w:r w:rsidRPr="001424FB">
        <w:rPr>
          <w:rFonts w:ascii="Arial" w:hAnsi="Arial" w:cs="Arial"/>
          <w:b/>
          <w:lang w:val="en-GB"/>
        </w:rPr>
        <w:tab/>
      </w:r>
      <w:r w:rsidRPr="001424FB">
        <w:rPr>
          <w:rFonts w:ascii="Arial" w:hAnsi="Arial" w:cs="Arial"/>
          <w:b/>
          <w:lang w:val="en-GB"/>
        </w:rPr>
        <w:tab/>
      </w: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ASB</w:t>
      </w: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jc w:val="both"/>
        <w:rPr>
          <w:rFonts w:ascii="Arial" w:eastAsia="Calibri" w:hAnsi="Arial" w:cs="Arial"/>
          <w:lang w:val="en-ZA"/>
        </w:rPr>
      </w:pPr>
      <w:r w:rsidRPr="001424FB">
        <w:rPr>
          <w:rFonts w:ascii="Arial" w:eastAsia="Calibri" w:hAnsi="Arial" w:cs="Arial"/>
          <w:lang w:val="en-ZA"/>
        </w:rPr>
        <w:t xml:space="preserve">The Accounting Standards Board has not procured any services or made any payments to </w:t>
      </w:r>
      <w:r w:rsidRPr="001424FB">
        <w:rPr>
          <w:rFonts w:ascii="Arial" w:eastAsia="Calibri" w:hAnsi="Arial" w:cs="Arial"/>
          <w:lang w:val="en-GB"/>
        </w:rPr>
        <w:t xml:space="preserve">a certain company (name furnished), </w:t>
      </w:r>
      <w:r w:rsidRPr="001424FB">
        <w:rPr>
          <w:rFonts w:ascii="Arial" w:eastAsia="Calibri" w:hAnsi="Arial" w:cs="Arial"/>
          <w:lang w:val="en-ZA"/>
        </w:rPr>
        <w:t>nor any other public relations firm. The Accounting Standards Board has had no need to procure such services.</w:t>
      </w: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lastRenderedPageBreak/>
        <w:t>CBDA</w:t>
      </w:r>
    </w:p>
    <w:p w:rsidR="009026C6" w:rsidRPr="001424FB" w:rsidRDefault="009026C6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9026C6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 xml:space="preserve">CBDA did not procure any services with a </w:t>
      </w:r>
      <w:r w:rsidRPr="001424FB">
        <w:rPr>
          <w:rFonts w:ascii="Arial" w:eastAsia="Calibri" w:hAnsi="Arial" w:cs="Arial"/>
          <w:lang w:val="en-GB"/>
        </w:rPr>
        <w:t xml:space="preserve">certain company (name furnished) </w:t>
      </w:r>
      <w:r w:rsidRPr="001424FB">
        <w:rPr>
          <w:rFonts w:ascii="Arial" w:hAnsi="Arial" w:cs="Arial"/>
          <w:lang w:val="en-GB"/>
        </w:rPr>
        <w:t xml:space="preserve">or any public relations firm due to budget constraints. Exposure is gained through direct contact with the communities we serve as well as our annual Indaba. </w:t>
      </w:r>
    </w:p>
    <w:p w:rsidR="0005447B" w:rsidRPr="001424FB" w:rsidRDefault="0005447B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DBSA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  <w:r w:rsidRPr="001424FB">
        <w:rPr>
          <w:rFonts w:ascii="Arial" w:hAnsi="Arial" w:cs="Arial"/>
          <w:b/>
        </w:rPr>
        <w:tab/>
        <w:t>(</w:t>
      </w:r>
      <w:r w:rsidRPr="001424FB">
        <w:rPr>
          <w:rFonts w:ascii="Arial" w:hAnsi="Arial" w:cs="Arial"/>
        </w:rPr>
        <w:t>b) (</w:t>
      </w:r>
      <w:proofErr w:type="gramStart"/>
      <w:r w:rsidRPr="001424FB">
        <w:rPr>
          <w:rFonts w:ascii="Arial" w:hAnsi="Arial" w:cs="Arial"/>
        </w:rPr>
        <w:t>i</w:t>
      </w:r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  <w:b/>
        </w:rPr>
        <w:tab/>
      </w:r>
      <w:r w:rsidRPr="001424FB">
        <w:rPr>
          <w:rFonts w:ascii="Arial" w:hAnsi="Arial" w:cs="Arial"/>
        </w:rPr>
        <w:t>NO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(b) (</w:t>
      </w:r>
      <w:proofErr w:type="gramStart"/>
      <w:r w:rsidRPr="001424FB">
        <w:rPr>
          <w:rFonts w:ascii="Arial" w:hAnsi="Arial" w:cs="Arial"/>
        </w:rPr>
        <w:t>ii</w:t>
      </w:r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  <w:t>YES – for 2015/16 we procured the services of HKLM Exchange (Pty) Ltd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ind w:left="1440" w:hanging="1440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</w:t>
      </w:r>
      <w:proofErr w:type="gramStart"/>
      <w:r w:rsidRPr="001424FB">
        <w:rPr>
          <w:rFonts w:ascii="Arial" w:hAnsi="Arial" w:cs="Arial"/>
        </w:rPr>
        <w:t>aa</w:t>
      </w:r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proofErr w:type="gramStart"/>
      <w:r w:rsidRPr="001424FB">
        <w:rPr>
          <w:rFonts w:ascii="Arial" w:hAnsi="Arial" w:cs="Arial"/>
        </w:rPr>
        <w:t>Public Relations and creative design services for the Annual Report and media planning for the launch of the annual financial results.</w:t>
      </w:r>
      <w:proofErr w:type="gramEnd"/>
      <w:r w:rsidRPr="001424FB">
        <w:rPr>
          <w:rFonts w:ascii="Arial" w:hAnsi="Arial" w:cs="Arial"/>
        </w:rPr>
        <w:t xml:space="preserve"> 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</w:t>
      </w:r>
      <w:proofErr w:type="gramStart"/>
      <w:r w:rsidRPr="001424FB">
        <w:rPr>
          <w:rFonts w:ascii="Arial" w:hAnsi="Arial" w:cs="Arial"/>
        </w:rPr>
        <w:t>bb</w:t>
      </w:r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Total cost of R1, 036,000.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ind w:left="1440" w:hanging="1440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(cc)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breakdown of the costs were R939, 000 for the annual report and R97, 000 for the media and PR services for the launch of the results.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</w:t>
      </w:r>
      <w:proofErr w:type="spellStart"/>
      <w:proofErr w:type="gramStart"/>
      <w:r w:rsidRPr="001424FB">
        <w:rPr>
          <w:rFonts w:ascii="Arial" w:hAnsi="Arial" w:cs="Arial"/>
        </w:rPr>
        <w:t>dd</w:t>
      </w:r>
      <w:proofErr w:type="spellEnd"/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Total amount paid was R1,036,000.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ind w:left="1440" w:hanging="1440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</w:t>
      </w:r>
      <w:proofErr w:type="spellStart"/>
      <w:proofErr w:type="gramStart"/>
      <w:r w:rsidRPr="001424FB">
        <w:rPr>
          <w:rFonts w:ascii="Arial" w:hAnsi="Arial" w:cs="Arial"/>
        </w:rPr>
        <w:t>ee</w:t>
      </w:r>
      <w:proofErr w:type="spellEnd"/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The payment was for the services procured with respect to public relations and creative design for the Annual Report and media planning for the launch of the annual financial results.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276" w:lineRule="auto"/>
        <w:ind w:left="1440" w:hanging="1440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</w:t>
      </w:r>
      <w:proofErr w:type="spellStart"/>
      <w:proofErr w:type="gramStart"/>
      <w:r w:rsidRPr="001424FB">
        <w:rPr>
          <w:rFonts w:ascii="Arial" w:hAnsi="Arial" w:cs="Arial"/>
        </w:rPr>
        <w:t>ff</w:t>
      </w:r>
      <w:proofErr w:type="spellEnd"/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Breakdown of the costs were R939, 000 for the annual report and R97, 000 for the media and PR services for the launch of the results.</w:t>
      </w: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A7475B" w:rsidRPr="001424FB" w:rsidRDefault="00A7475B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FIC</w:t>
      </w: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B25CDD" w:rsidRPr="001424FB" w:rsidRDefault="00B25CDD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 xml:space="preserve">The FIC has not made use of a </w:t>
      </w:r>
      <w:r w:rsidRPr="001424FB">
        <w:rPr>
          <w:rFonts w:ascii="Arial" w:eastAsia="Calibri" w:hAnsi="Arial" w:cs="Arial"/>
          <w:lang w:val="en-GB"/>
        </w:rPr>
        <w:t xml:space="preserve">certain company (name furnished) </w:t>
      </w:r>
      <w:r w:rsidRPr="001424FB">
        <w:rPr>
          <w:rFonts w:ascii="Arial" w:hAnsi="Arial" w:cs="Arial"/>
          <w:lang w:val="en-GB"/>
        </w:rPr>
        <w:t xml:space="preserve">or and other public relations firm as there was never such a requirement. </w:t>
      </w:r>
    </w:p>
    <w:p w:rsidR="009026C6" w:rsidRPr="001424FB" w:rsidRDefault="009026C6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FSB</w:t>
      </w:r>
    </w:p>
    <w:p w:rsidR="004A04B2" w:rsidRPr="001424FB" w:rsidRDefault="004A04B2" w:rsidP="004A04B2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</w:p>
    <w:p w:rsidR="004A04B2" w:rsidRPr="001424FB" w:rsidRDefault="004A04B2" w:rsidP="004A04B2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567" w:hanging="567"/>
        <w:contextualSpacing/>
        <w:rPr>
          <w:rFonts w:ascii="Arial" w:hAnsi="Arial" w:cs="Arial"/>
        </w:rPr>
      </w:pPr>
      <w:r w:rsidRPr="001424FB">
        <w:rPr>
          <w:rFonts w:ascii="Arial" w:hAnsi="Arial" w:cs="Arial"/>
        </w:rPr>
        <w:t>…..</w:t>
      </w:r>
    </w:p>
    <w:p w:rsidR="004A04B2" w:rsidRPr="001424FB" w:rsidRDefault="004A04B2" w:rsidP="004A04B2">
      <w:pPr>
        <w:numPr>
          <w:ilvl w:val="0"/>
          <w:numId w:val="11"/>
        </w:numPr>
        <w:tabs>
          <w:tab w:val="left" w:pos="567"/>
          <w:tab w:val="left" w:pos="1134"/>
        </w:tabs>
        <w:spacing w:after="200" w:line="276" w:lineRule="auto"/>
        <w:ind w:left="1134" w:hanging="1134"/>
        <w:contextualSpacing/>
        <w:rPr>
          <w:rFonts w:ascii="Arial" w:hAnsi="Arial" w:cs="Arial"/>
        </w:rPr>
      </w:pPr>
      <w:r w:rsidRPr="001424FB">
        <w:rPr>
          <w:rFonts w:ascii="Arial" w:hAnsi="Arial" w:cs="Arial"/>
        </w:rPr>
        <w:t>(i)</w:t>
      </w:r>
      <w:r w:rsidRPr="001424FB">
        <w:rPr>
          <w:rFonts w:ascii="Arial" w:hAnsi="Arial" w:cs="Arial"/>
        </w:rPr>
        <w:tab/>
        <w:t xml:space="preserve">No payments have been made by the Financial Services Board (FSB) to </w:t>
      </w:r>
      <w:r w:rsidR="00FE1A76" w:rsidRPr="001424FB">
        <w:rPr>
          <w:rFonts w:ascii="Arial" w:hAnsi="Arial" w:cs="Arial"/>
          <w:lang w:val="en-GB"/>
        </w:rPr>
        <w:t>a certain company (name furnished).</w:t>
      </w:r>
    </w:p>
    <w:p w:rsidR="004A04B2" w:rsidRPr="001424FB" w:rsidRDefault="004A04B2" w:rsidP="004A04B2">
      <w:pPr>
        <w:tabs>
          <w:tab w:val="left" w:pos="1134"/>
        </w:tabs>
        <w:spacing w:line="276" w:lineRule="auto"/>
        <w:ind w:left="1134" w:hanging="567"/>
        <w:rPr>
          <w:rFonts w:ascii="Arial" w:hAnsi="Arial" w:cs="Arial"/>
        </w:rPr>
      </w:pPr>
      <w:r w:rsidRPr="001424FB">
        <w:rPr>
          <w:rFonts w:ascii="Arial" w:hAnsi="Arial" w:cs="Arial"/>
        </w:rPr>
        <w:t>(ii)</w:t>
      </w:r>
      <w:r w:rsidRPr="001424FB">
        <w:rPr>
          <w:rFonts w:ascii="Arial" w:hAnsi="Arial" w:cs="Arial"/>
        </w:rPr>
        <w:tab/>
        <w:t xml:space="preserve">The public relations consultant engaged by the FSB is Gillian </w:t>
      </w:r>
      <w:proofErr w:type="spellStart"/>
      <w:r w:rsidRPr="001424FB">
        <w:rPr>
          <w:rFonts w:ascii="Arial" w:hAnsi="Arial" w:cs="Arial"/>
        </w:rPr>
        <w:t>Gamsy</w:t>
      </w:r>
      <w:proofErr w:type="spellEnd"/>
      <w:r w:rsidRPr="001424FB">
        <w:rPr>
          <w:rFonts w:ascii="Arial" w:hAnsi="Arial" w:cs="Arial"/>
        </w:rPr>
        <w:t xml:space="preserve"> International Communications (GGI).</w:t>
      </w:r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701" w:hanging="1134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</w:t>
      </w:r>
      <w:proofErr w:type="gramStart"/>
      <w:r w:rsidRPr="001424FB">
        <w:rPr>
          <w:rFonts w:ascii="Arial" w:hAnsi="Arial" w:cs="Arial"/>
        </w:rPr>
        <w:t>aa</w:t>
      </w:r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  <w:t>professional assistance with media releases as and when required and media monitoring.</w:t>
      </w:r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701" w:hanging="1134"/>
        <w:rPr>
          <w:rFonts w:ascii="Arial" w:hAnsi="Arial" w:cs="Arial"/>
        </w:rPr>
      </w:pPr>
      <w:r w:rsidRPr="001424FB">
        <w:rPr>
          <w:rFonts w:ascii="Arial" w:hAnsi="Arial" w:cs="Arial"/>
        </w:rPr>
        <w:tab/>
        <w:t>(</w:t>
      </w:r>
      <w:proofErr w:type="gramStart"/>
      <w:r w:rsidRPr="001424FB">
        <w:rPr>
          <w:rFonts w:ascii="Arial" w:hAnsi="Arial" w:cs="Arial"/>
        </w:rPr>
        <w:t>bb</w:t>
      </w:r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  <w:t>2015/2016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R114 427,50</w:t>
      </w:r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701" w:hanging="1134"/>
        <w:rPr>
          <w:rFonts w:ascii="Arial" w:hAnsi="Arial" w:cs="Arial"/>
        </w:rPr>
      </w:pPr>
      <w:r w:rsidRPr="001424FB">
        <w:rPr>
          <w:rFonts w:ascii="Arial" w:hAnsi="Arial" w:cs="Arial"/>
        </w:rPr>
        <w:lastRenderedPageBreak/>
        <w:tab/>
      </w:r>
      <w:r w:rsidRPr="001424FB">
        <w:rPr>
          <w:rFonts w:ascii="Arial" w:hAnsi="Arial" w:cs="Arial"/>
        </w:rPr>
        <w:tab/>
        <w:t>2016/2017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  <w:u w:val="single"/>
        </w:rPr>
        <w:t>R718 356</w:t>
      </w:r>
      <w:proofErr w:type="gramStart"/>
      <w:r w:rsidRPr="001424FB">
        <w:rPr>
          <w:rFonts w:ascii="Arial" w:hAnsi="Arial" w:cs="Arial"/>
          <w:u w:val="single"/>
        </w:rPr>
        <w:t>,75</w:t>
      </w:r>
      <w:proofErr w:type="gramEnd"/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701" w:hanging="1134"/>
        <w:rPr>
          <w:rFonts w:ascii="Arial" w:hAnsi="Arial" w:cs="Arial"/>
          <w:b/>
          <w:u w:val="single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Total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  <w:b/>
          <w:u w:val="single"/>
        </w:rPr>
        <w:t>R832 784</w:t>
      </w:r>
      <w:proofErr w:type="gramStart"/>
      <w:r w:rsidRPr="001424FB">
        <w:rPr>
          <w:rFonts w:ascii="Arial" w:hAnsi="Arial" w:cs="Arial"/>
          <w:b/>
          <w:u w:val="single"/>
        </w:rPr>
        <w:t>,25</w:t>
      </w:r>
      <w:proofErr w:type="gramEnd"/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854" w:hanging="720"/>
        <w:rPr>
          <w:rFonts w:ascii="Arial" w:hAnsi="Arial" w:cs="Arial"/>
        </w:rPr>
      </w:pPr>
      <w:r w:rsidRPr="001424FB">
        <w:rPr>
          <w:rFonts w:ascii="Arial" w:hAnsi="Arial" w:cs="Arial"/>
        </w:rPr>
        <w:t>(cc)</w:t>
      </w:r>
      <w:r w:rsidRPr="001424FB">
        <w:rPr>
          <w:rFonts w:ascii="Arial" w:hAnsi="Arial" w:cs="Arial"/>
        </w:rPr>
        <w:tab/>
        <w:t>See (bb) above.</w:t>
      </w:r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854" w:hanging="720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spellStart"/>
      <w:proofErr w:type="gramStart"/>
      <w:r w:rsidRPr="001424FB">
        <w:rPr>
          <w:rFonts w:ascii="Arial" w:hAnsi="Arial" w:cs="Arial"/>
        </w:rPr>
        <w:t>dd</w:t>
      </w:r>
      <w:proofErr w:type="spellEnd"/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  <w:t>See (bb) above.</w:t>
      </w:r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854" w:hanging="720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spellStart"/>
      <w:proofErr w:type="gramStart"/>
      <w:r w:rsidRPr="001424FB">
        <w:rPr>
          <w:rFonts w:ascii="Arial" w:hAnsi="Arial" w:cs="Arial"/>
        </w:rPr>
        <w:t>ee</w:t>
      </w:r>
      <w:proofErr w:type="spellEnd"/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  <w:t>See (</w:t>
      </w:r>
      <w:proofErr w:type="gramStart"/>
      <w:r w:rsidRPr="001424FB">
        <w:rPr>
          <w:rFonts w:ascii="Arial" w:hAnsi="Arial" w:cs="Arial"/>
        </w:rPr>
        <w:t>aa</w:t>
      </w:r>
      <w:proofErr w:type="gramEnd"/>
      <w:r w:rsidRPr="001424FB">
        <w:rPr>
          <w:rFonts w:ascii="Arial" w:hAnsi="Arial" w:cs="Arial"/>
        </w:rPr>
        <w:t>) above.</w:t>
      </w:r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ind w:left="1854" w:hanging="720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spellStart"/>
      <w:proofErr w:type="gramStart"/>
      <w:r w:rsidRPr="001424FB">
        <w:rPr>
          <w:rFonts w:ascii="Arial" w:hAnsi="Arial" w:cs="Arial"/>
        </w:rPr>
        <w:t>ff</w:t>
      </w:r>
      <w:proofErr w:type="spellEnd"/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</w:r>
      <w:proofErr w:type="gramStart"/>
      <w:r w:rsidRPr="001424FB">
        <w:rPr>
          <w:rFonts w:ascii="Arial" w:hAnsi="Arial" w:cs="Arial"/>
        </w:rPr>
        <w:t>See (bb) above.</w:t>
      </w:r>
      <w:proofErr w:type="gramEnd"/>
    </w:p>
    <w:p w:rsidR="004A04B2" w:rsidRPr="001424FB" w:rsidRDefault="004A04B2" w:rsidP="004A04B2">
      <w:pPr>
        <w:tabs>
          <w:tab w:val="left" w:pos="1134"/>
          <w:tab w:val="left" w:pos="1701"/>
        </w:tabs>
        <w:spacing w:line="276" w:lineRule="auto"/>
        <w:rPr>
          <w:rFonts w:ascii="Arial" w:hAnsi="Arial" w:cs="Arial"/>
          <w:b/>
          <w:u w:val="single"/>
        </w:rPr>
      </w:pPr>
    </w:p>
    <w:p w:rsidR="00A7475B" w:rsidRPr="001424FB" w:rsidRDefault="00A7475B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GEPF</w:t>
      </w:r>
    </w:p>
    <w:p w:rsidR="001424FB" w:rsidRPr="001424FB" w:rsidRDefault="001424FB" w:rsidP="001424F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:rsidR="001424FB" w:rsidRPr="001424FB" w:rsidRDefault="001424FB" w:rsidP="001424FB">
      <w:pPr>
        <w:tabs>
          <w:tab w:val="left" w:pos="432"/>
          <w:tab w:val="left" w:pos="864"/>
        </w:tabs>
        <w:spacing w:line="276" w:lineRule="auto"/>
        <w:ind w:left="432" w:hanging="432"/>
        <w:rPr>
          <w:rFonts w:ascii="Arial" w:eastAsia="Calibri" w:hAnsi="Arial" w:cs="Arial"/>
        </w:rPr>
      </w:pPr>
      <w:proofErr w:type="gramStart"/>
      <w:r w:rsidRPr="001424FB">
        <w:rPr>
          <w:rFonts w:ascii="Arial" w:eastAsia="Calibri" w:hAnsi="Arial" w:cs="Arial"/>
        </w:rPr>
        <w:t>i</w:t>
      </w:r>
      <w:proofErr w:type="gramEnd"/>
      <w:r w:rsidRPr="001424FB">
        <w:rPr>
          <w:rFonts w:ascii="Arial" w:eastAsia="Calibri" w:hAnsi="Arial" w:cs="Arial"/>
        </w:rPr>
        <w:tab/>
        <w:t>The GEPF did not</w:t>
      </w:r>
      <w:r w:rsidRPr="001424FB">
        <w:rPr>
          <w:rFonts w:ascii="Arial" w:eastAsia="Calibri" w:hAnsi="Arial" w:cs="Arial"/>
          <w:b/>
        </w:rPr>
        <w:t xml:space="preserve"> </w:t>
      </w:r>
      <w:r w:rsidRPr="001424FB">
        <w:rPr>
          <w:rFonts w:ascii="Arial" w:eastAsia="Calibri" w:hAnsi="Arial" w:cs="Arial"/>
        </w:rPr>
        <w:t xml:space="preserve">procure any services nor made any payments to </w:t>
      </w:r>
      <w:r w:rsidRPr="001424FB">
        <w:rPr>
          <w:rFonts w:ascii="Arial" w:eastAsia="Calibri" w:hAnsi="Arial" w:cs="Arial"/>
          <w:lang w:val="en-GB"/>
        </w:rPr>
        <w:t xml:space="preserve">a certain company (name furnished) </w:t>
      </w:r>
      <w:r w:rsidRPr="001424FB">
        <w:rPr>
          <w:rFonts w:ascii="Arial" w:eastAsia="Calibri" w:hAnsi="Arial" w:cs="Arial"/>
        </w:rPr>
        <w:t>and does not intend to procure any of their services in the future.</w:t>
      </w:r>
    </w:p>
    <w:p w:rsidR="001424FB" w:rsidRPr="001424FB" w:rsidRDefault="001424FB" w:rsidP="001424FB">
      <w:pPr>
        <w:tabs>
          <w:tab w:val="left" w:pos="432"/>
          <w:tab w:val="left" w:pos="864"/>
        </w:tabs>
        <w:spacing w:line="276" w:lineRule="auto"/>
        <w:ind w:left="432" w:hanging="432"/>
        <w:rPr>
          <w:rFonts w:ascii="Arial" w:hAnsi="Arial" w:cs="Arial"/>
          <w:b/>
        </w:rPr>
      </w:pPr>
      <w:proofErr w:type="gramStart"/>
      <w:r w:rsidRPr="001424FB">
        <w:rPr>
          <w:rFonts w:ascii="Arial" w:eastAsia="Calibri" w:hAnsi="Arial" w:cs="Arial"/>
        </w:rPr>
        <w:t>ii</w:t>
      </w:r>
      <w:proofErr w:type="gramEnd"/>
      <w:r w:rsidRPr="001424FB">
        <w:rPr>
          <w:rFonts w:ascii="Arial" w:eastAsia="Calibri" w:hAnsi="Arial" w:cs="Arial"/>
        </w:rPr>
        <w:tab/>
        <w:t>The GEPF did not procure any service nor made any payments to any public relations firm in the 2016/17 financial year.</w:t>
      </w:r>
    </w:p>
    <w:p w:rsidR="00A7475B" w:rsidRPr="001424FB" w:rsidRDefault="00A7475B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GPAA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026C6" w:rsidRPr="001424FB" w:rsidRDefault="009026C6" w:rsidP="009026C6">
      <w:pPr>
        <w:numPr>
          <w:ilvl w:val="0"/>
          <w:numId w:val="6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No services were procured from </w:t>
      </w:r>
      <w:r w:rsidR="00DB0994" w:rsidRPr="001424FB">
        <w:rPr>
          <w:rFonts w:ascii="Arial" w:eastAsia="Calibri" w:hAnsi="Arial" w:cs="Arial"/>
          <w:lang w:val="en-GB"/>
        </w:rPr>
        <w:t>a certain company (name furnished)</w:t>
      </w:r>
      <w:r w:rsidRPr="001424FB">
        <w:rPr>
          <w:rFonts w:ascii="Arial" w:hAnsi="Arial" w:cs="Arial"/>
        </w:rPr>
        <w:t>; and</w:t>
      </w:r>
    </w:p>
    <w:p w:rsidR="009026C6" w:rsidRPr="001424FB" w:rsidRDefault="009026C6" w:rsidP="009026C6">
      <w:pPr>
        <w:numPr>
          <w:ilvl w:val="0"/>
          <w:numId w:val="6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No services were procured from any other public relations firms;</w:t>
      </w:r>
      <w:r w:rsidRPr="001424FB">
        <w:rPr>
          <w:rFonts w:ascii="Arial" w:hAnsi="Arial" w:cs="Arial"/>
          <w:lang w:val="en-GB" w:bidi="x-none"/>
        </w:rPr>
        <w:t xml:space="preserve"> </w:t>
      </w:r>
    </w:p>
    <w:p w:rsidR="009026C6" w:rsidRPr="001424FB" w:rsidRDefault="009026C6" w:rsidP="009026C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The GPAA was never in demand of any of these services. </w:t>
      </w:r>
    </w:p>
    <w:p w:rsidR="00DB0994" w:rsidRPr="001424FB" w:rsidRDefault="00DB0994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</w:p>
    <w:p w:rsidR="00DB0994" w:rsidRPr="001424FB" w:rsidRDefault="00DB0994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IRBA</w:t>
      </w:r>
    </w:p>
    <w:p w:rsidR="00A7475B" w:rsidRPr="001424FB" w:rsidRDefault="008E2354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424FB">
        <w:rPr>
          <w:rFonts w:ascii="Arial" w:hAnsi="Arial" w:cs="Arial"/>
          <w:lang w:val="en-GB"/>
        </w:rPr>
        <w:t xml:space="preserve">No services were procured from a </w:t>
      </w:r>
      <w:r w:rsidRPr="001424FB">
        <w:rPr>
          <w:rFonts w:ascii="Arial" w:eastAsia="Calibri" w:hAnsi="Arial" w:cs="Arial"/>
          <w:lang w:val="en-GB"/>
        </w:rPr>
        <w:t>certain company (name furnished)</w:t>
      </w:r>
      <w:r w:rsidRPr="001424FB">
        <w:rPr>
          <w:rFonts w:ascii="Arial" w:hAnsi="Arial" w:cs="Arial"/>
        </w:rPr>
        <w:t xml:space="preserve"> and no payments were made. No services were procured and no payments were made to any other public relations firms.</w:t>
      </w:r>
    </w:p>
    <w:p w:rsidR="008E2354" w:rsidRPr="001424FB" w:rsidRDefault="008E2354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E2354" w:rsidRPr="001424FB" w:rsidRDefault="008E2354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</w:rPr>
        <w:t xml:space="preserve">IRBA does not use services of Public Relations Firms. </w:t>
      </w: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PFA</w:t>
      </w: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B25CDD" w:rsidRDefault="00B25CDD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>No payment was made, and no requirement for related services from the service provider.</w:t>
      </w:r>
    </w:p>
    <w:p w:rsidR="00B25CDD" w:rsidRPr="001424FB" w:rsidRDefault="00B25CDD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 xml:space="preserve">No payments made to any other public relations firm due to the nature and size of the entity. Public relations are managed internally through a stakeholder management program. </w:t>
      </w: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LAND BANK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:rsidR="00DB0994" w:rsidRPr="001424FB" w:rsidRDefault="00DB0994" w:rsidP="00DB0994">
      <w:pPr>
        <w:numPr>
          <w:ilvl w:val="0"/>
          <w:numId w:val="7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The Land Bank never procured any services from </w:t>
      </w:r>
      <w:r w:rsidRPr="001424FB">
        <w:rPr>
          <w:rFonts w:ascii="Arial" w:eastAsia="Calibri" w:hAnsi="Arial" w:cs="Arial"/>
          <w:lang w:val="en-GB"/>
        </w:rPr>
        <w:t>a certain company (name furnished)</w:t>
      </w:r>
      <w:r w:rsidRPr="001424FB">
        <w:rPr>
          <w:rFonts w:ascii="Arial" w:hAnsi="Arial" w:cs="Arial"/>
        </w:rPr>
        <w:t>. This company is not listed in the procurement database of the Land Bank as a vendor.</w:t>
      </w:r>
    </w:p>
    <w:p w:rsidR="00DB0994" w:rsidRPr="001424FB" w:rsidRDefault="00DB0994" w:rsidP="00DB0994">
      <w:pPr>
        <w:numPr>
          <w:ilvl w:val="0"/>
          <w:numId w:val="7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The Land Bank did procure the services of</w:t>
      </w:r>
      <w:r w:rsidRPr="001424FB">
        <w:rPr>
          <w:rFonts w:ascii="Arial" w:hAnsi="Arial" w:cs="Arial"/>
          <w:b/>
          <w:i/>
        </w:rPr>
        <w:t xml:space="preserve"> </w:t>
      </w:r>
      <w:r w:rsidRPr="001424FB">
        <w:rPr>
          <w:rFonts w:ascii="Arial" w:hAnsi="Arial" w:cs="Arial"/>
          <w:b/>
        </w:rPr>
        <w:t xml:space="preserve">Magna Carta </w:t>
      </w:r>
      <w:r w:rsidRPr="001424FB">
        <w:rPr>
          <w:rFonts w:ascii="Arial" w:hAnsi="Arial" w:cs="Arial"/>
        </w:rPr>
        <w:t>- a public relations firm.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(</w:t>
      </w:r>
      <w:proofErr w:type="gramStart"/>
      <w:r w:rsidRPr="001424FB">
        <w:rPr>
          <w:rFonts w:ascii="Arial" w:hAnsi="Arial" w:cs="Arial"/>
        </w:rPr>
        <w:t>aa</w:t>
      </w:r>
      <w:proofErr w:type="gramEnd"/>
      <w:r w:rsidRPr="001424FB">
        <w:rPr>
          <w:rFonts w:ascii="Arial" w:hAnsi="Arial" w:cs="Arial"/>
        </w:rPr>
        <w:t xml:space="preserve">) </w:t>
      </w:r>
      <w:r w:rsidRPr="001424FB">
        <w:rPr>
          <w:rFonts w:ascii="Arial" w:hAnsi="Arial" w:cs="Arial"/>
        </w:rPr>
        <w:tab/>
        <w:t xml:space="preserve">  The following services were procured: 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Brand and reputation management and strategy;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Brand repositioning and brand building; 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Internal and external communications plan with all the stakeholders;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Internal and external communications plan execution (including content preparation);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Team preparation for communication roll out;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proofErr w:type="spellStart"/>
      <w:r w:rsidRPr="001424FB">
        <w:rPr>
          <w:rFonts w:ascii="Arial" w:hAnsi="Arial" w:cs="Arial"/>
        </w:rPr>
        <w:t>Organisational</w:t>
      </w:r>
      <w:proofErr w:type="spellEnd"/>
      <w:r w:rsidRPr="001424FB">
        <w:rPr>
          <w:rFonts w:ascii="Arial" w:hAnsi="Arial" w:cs="Arial"/>
        </w:rPr>
        <w:t xml:space="preserve"> Review Project Communication Management Support;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Media Monitoring Services;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Embedded Resource; and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Annual Report Publication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2160"/>
        <w:contextualSpacing/>
        <w:jc w:val="both"/>
        <w:rPr>
          <w:rFonts w:ascii="Arial" w:hAnsi="Arial" w:cs="Arial"/>
        </w:rPr>
      </w:pP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(</w:t>
      </w:r>
      <w:proofErr w:type="gramStart"/>
      <w:r w:rsidRPr="001424FB">
        <w:rPr>
          <w:rFonts w:ascii="Arial" w:hAnsi="Arial" w:cs="Arial"/>
        </w:rPr>
        <w:t>bb</w:t>
      </w:r>
      <w:proofErr w:type="gramEnd"/>
      <w:r w:rsidRPr="001424FB">
        <w:rPr>
          <w:rFonts w:ascii="Arial" w:hAnsi="Arial" w:cs="Arial"/>
        </w:rPr>
        <w:t>)</w:t>
      </w:r>
      <w:r w:rsidRPr="001424FB">
        <w:rPr>
          <w:rFonts w:ascii="Arial" w:hAnsi="Arial" w:cs="Arial"/>
        </w:rPr>
        <w:tab/>
        <w:t xml:space="preserve">The total cost for the contract was: </w:t>
      </w:r>
      <w:r w:rsidRPr="001424FB">
        <w:rPr>
          <w:rFonts w:ascii="Arial" w:hAnsi="Arial" w:cs="Arial"/>
          <w:b/>
          <w:i/>
        </w:rPr>
        <w:t xml:space="preserve">R1, 288,200.00 (VAT included). </w:t>
      </w:r>
      <w:r w:rsidRPr="001424FB">
        <w:rPr>
          <w:rFonts w:ascii="Arial" w:hAnsi="Arial" w:cs="Arial"/>
        </w:rPr>
        <w:t xml:space="preserve">Period   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 </w:t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proofErr w:type="gramStart"/>
      <w:r w:rsidRPr="001424FB">
        <w:rPr>
          <w:rFonts w:ascii="Arial" w:hAnsi="Arial" w:cs="Arial"/>
        </w:rPr>
        <w:t>of</w:t>
      </w:r>
      <w:proofErr w:type="gramEnd"/>
      <w:r w:rsidRPr="001424FB">
        <w:rPr>
          <w:rFonts w:ascii="Arial" w:hAnsi="Arial" w:cs="Arial"/>
        </w:rPr>
        <w:t xml:space="preserve"> the contract was from 1 September 2015 up until 30 September 2016.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 xml:space="preserve">(cc)   </w:t>
      </w:r>
      <w:proofErr w:type="gramStart"/>
      <w:r w:rsidRPr="001424FB">
        <w:rPr>
          <w:rFonts w:ascii="Arial" w:hAnsi="Arial" w:cs="Arial"/>
        </w:rPr>
        <w:t>The</w:t>
      </w:r>
      <w:proofErr w:type="gramEnd"/>
      <w:r w:rsidRPr="001424FB">
        <w:rPr>
          <w:rFonts w:ascii="Arial" w:hAnsi="Arial" w:cs="Arial"/>
        </w:rPr>
        <w:t xml:space="preserve"> cost breakdown is as follows: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Brand and reputation management and strategy, Brand repositioning and brand building: </w:t>
      </w:r>
      <w:r w:rsidRPr="001424FB">
        <w:rPr>
          <w:rFonts w:ascii="Arial" w:hAnsi="Arial" w:cs="Arial"/>
          <w:b/>
        </w:rPr>
        <w:t>R102,600.00</w:t>
      </w:r>
      <w:r w:rsidRPr="001424FB">
        <w:rPr>
          <w:rFonts w:ascii="Arial" w:hAnsi="Arial" w:cs="Arial"/>
        </w:rPr>
        <w:t xml:space="preserve">; 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Internal and external communications plan with all the stakeholders: </w:t>
      </w:r>
      <w:r w:rsidRPr="001424FB">
        <w:rPr>
          <w:rFonts w:ascii="Arial" w:hAnsi="Arial" w:cs="Arial"/>
          <w:b/>
        </w:rPr>
        <w:t>R102,600.00;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Internal and external communications plan execution (including content preparation): </w:t>
      </w:r>
      <w:r w:rsidRPr="001424FB">
        <w:rPr>
          <w:rFonts w:ascii="Arial" w:hAnsi="Arial" w:cs="Arial"/>
          <w:b/>
        </w:rPr>
        <w:t>R239, 400.00;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Team preparation for communication roll out: </w:t>
      </w:r>
      <w:r w:rsidRPr="001424FB">
        <w:rPr>
          <w:rFonts w:ascii="Arial" w:hAnsi="Arial" w:cs="Arial"/>
          <w:b/>
        </w:rPr>
        <w:t>R68,400.00;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proofErr w:type="spellStart"/>
      <w:r w:rsidRPr="001424FB">
        <w:rPr>
          <w:rFonts w:ascii="Arial" w:hAnsi="Arial" w:cs="Arial"/>
        </w:rPr>
        <w:t>Organisational</w:t>
      </w:r>
      <w:proofErr w:type="spellEnd"/>
      <w:r w:rsidRPr="001424FB">
        <w:rPr>
          <w:rFonts w:ascii="Arial" w:hAnsi="Arial" w:cs="Arial"/>
        </w:rPr>
        <w:t xml:space="preserve"> Review Project Communication Management Support: </w:t>
      </w:r>
      <w:r w:rsidRPr="001424FB">
        <w:rPr>
          <w:rFonts w:ascii="Arial" w:hAnsi="Arial" w:cs="Arial"/>
          <w:b/>
        </w:rPr>
        <w:t>R102,600.00;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Media Monitoring Services: </w:t>
      </w:r>
      <w:r w:rsidRPr="001424FB">
        <w:rPr>
          <w:rFonts w:ascii="Arial" w:hAnsi="Arial" w:cs="Arial"/>
          <w:b/>
        </w:rPr>
        <w:t>R171, 000.00;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Embedded Resource: </w:t>
      </w:r>
      <w:r w:rsidRPr="001424FB">
        <w:rPr>
          <w:rFonts w:ascii="Arial" w:hAnsi="Arial" w:cs="Arial"/>
          <w:b/>
        </w:rPr>
        <w:t xml:space="preserve">R461,700.00; </w:t>
      </w:r>
      <w:r w:rsidRPr="001424FB">
        <w:rPr>
          <w:rFonts w:ascii="Arial" w:hAnsi="Arial" w:cs="Arial"/>
        </w:rPr>
        <w:t>and</w:t>
      </w:r>
      <w:r w:rsidRPr="001424FB">
        <w:rPr>
          <w:rFonts w:ascii="Arial" w:hAnsi="Arial" w:cs="Arial"/>
          <w:b/>
        </w:rPr>
        <w:t xml:space="preserve"> 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Annual Report Publication:</w:t>
      </w:r>
      <w:r w:rsidRPr="001424FB">
        <w:rPr>
          <w:rFonts w:ascii="Arial" w:hAnsi="Arial" w:cs="Arial"/>
          <w:b/>
        </w:rPr>
        <w:t xml:space="preserve"> R39,900.00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(</w:t>
      </w:r>
      <w:proofErr w:type="spellStart"/>
      <w:proofErr w:type="gramStart"/>
      <w:r w:rsidRPr="001424FB">
        <w:rPr>
          <w:rFonts w:ascii="Arial" w:hAnsi="Arial" w:cs="Arial"/>
        </w:rPr>
        <w:t>dd</w:t>
      </w:r>
      <w:proofErr w:type="spellEnd"/>
      <w:proofErr w:type="gramEnd"/>
      <w:r w:rsidRPr="001424FB">
        <w:rPr>
          <w:rFonts w:ascii="Arial" w:hAnsi="Arial" w:cs="Arial"/>
        </w:rPr>
        <w:t xml:space="preserve">)  The total cost for the contract was: </w:t>
      </w:r>
      <w:r w:rsidRPr="001424FB">
        <w:rPr>
          <w:rFonts w:ascii="Arial" w:hAnsi="Arial" w:cs="Arial"/>
          <w:b/>
          <w:i/>
        </w:rPr>
        <w:t xml:space="preserve">R1, 288,200.00 (VAT included). </w:t>
      </w:r>
      <w:r w:rsidRPr="001424FB">
        <w:rPr>
          <w:rFonts w:ascii="Arial" w:hAnsi="Arial" w:cs="Arial"/>
        </w:rPr>
        <w:t xml:space="preserve">Period  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</w:r>
      <w:proofErr w:type="gramStart"/>
      <w:r w:rsidRPr="001424FB">
        <w:rPr>
          <w:rFonts w:ascii="Arial" w:hAnsi="Arial" w:cs="Arial"/>
        </w:rPr>
        <w:t>of</w:t>
      </w:r>
      <w:proofErr w:type="gramEnd"/>
      <w:r w:rsidRPr="001424FB">
        <w:rPr>
          <w:rFonts w:ascii="Arial" w:hAnsi="Arial" w:cs="Arial"/>
        </w:rPr>
        <w:t xml:space="preserve"> the contract was from 1 September 2015 up until 30 September 2016.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(</w:t>
      </w:r>
      <w:proofErr w:type="spellStart"/>
      <w:proofErr w:type="gramStart"/>
      <w:r w:rsidRPr="001424FB">
        <w:rPr>
          <w:rFonts w:ascii="Arial" w:hAnsi="Arial" w:cs="Arial"/>
        </w:rPr>
        <w:t>ee</w:t>
      </w:r>
      <w:proofErr w:type="spellEnd"/>
      <w:proofErr w:type="gramEnd"/>
      <w:r w:rsidRPr="001424FB">
        <w:rPr>
          <w:rFonts w:ascii="Arial" w:hAnsi="Arial" w:cs="Arial"/>
        </w:rPr>
        <w:t xml:space="preserve">)  The following services were procured: 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Brand and reputation management and strategy;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Brand repositioning and brand building; 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Internal and external communications plan with all the stakeholders;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Internal and external communications plan execution (including content preparation);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Team preparation for communication roll out;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proofErr w:type="spellStart"/>
      <w:r w:rsidRPr="001424FB">
        <w:rPr>
          <w:rFonts w:ascii="Arial" w:hAnsi="Arial" w:cs="Arial"/>
        </w:rPr>
        <w:t>Organisational</w:t>
      </w:r>
      <w:proofErr w:type="spellEnd"/>
      <w:r w:rsidRPr="001424FB">
        <w:rPr>
          <w:rFonts w:ascii="Arial" w:hAnsi="Arial" w:cs="Arial"/>
        </w:rPr>
        <w:t xml:space="preserve"> Review Project Communication Management Support;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Media Monitoring Services;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Embedded Resource; and</w:t>
      </w:r>
    </w:p>
    <w:p w:rsidR="00DB0994" w:rsidRPr="001424FB" w:rsidRDefault="00DB0994" w:rsidP="00DB0994">
      <w:pPr>
        <w:numPr>
          <w:ilvl w:val="0"/>
          <w:numId w:val="8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Annual Report Publication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ab/>
      </w:r>
      <w:r w:rsidRPr="001424FB">
        <w:rPr>
          <w:rFonts w:ascii="Arial" w:hAnsi="Arial" w:cs="Arial"/>
        </w:rPr>
        <w:tab/>
        <w:t>(</w:t>
      </w:r>
      <w:proofErr w:type="spellStart"/>
      <w:proofErr w:type="gramStart"/>
      <w:r w:rsidRPr="001424FB">
        <w:rPr>
          <w:rFonts w:ascii="Arial" w:hAnsi="Arial" w:cs="Arial"/>
        </w:rPr>
        <w:t>ff</w:t>
      </w:r>
      <w:proofErr w:type="spellEnd"/>
      <w:proofErr w:type="gramEnd"/>
      <w:r w:rsidRPr="001424FB">
        <w:rPr>
          <w:rFonts w:ascii="Arial" w:hAnsi="Arial" w:cs="Arial"/>
        </w:rPr>
        <w:t>)   The cost breakdown is as follows: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</w:rPr>
      </w:pP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Brand and reputation management and strategy, Brand repositioning and brand building: </w:t>
      </w:r>
      <w:r w:rsidRPr="001424FB">
        <w:rPr>
          <w:rFonts w:ascii="Arial" w:hAnsi="Arial" w:cs="Arial"/>
          <w:b/>
        </w:rPr>
        <w:t>R102,600.00</w:t>
      </w:r>
      <w:r w:rsidRPr="001424FB">
        <w:rPr>
          <w:rFonts w:ascii="Arial" w:hAnsi="Arial" w:cs="Arial"/>
        </w:rPr>
        <w:t xml:space="preserve">; 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Internal and external communications plan with all the stakeholders: </w:t>
      </w:r>
      <w:r w:rsidRPr="001424FB">
        <w:rPr>
          <w:rFonts w:ascii="Arial" w:hAnsi="Arial" w:cs="Arial"/>
          <w:b/>
        </w:rPr>
        <w:t>R102,600.00;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Internal and external communications plan execution (including content preparation): </w:t>
      </w:r>
      <w:r w:rsidRPr="001424FB">
        <w:rPr>
          <w:rFonts w:ascii="Arial" w:hAnsi="Arial" w:cs="Arial"/>
          <w:b/>
        </w:rPr>
        <w:t>R239, 400.00;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Team preparation for communication roll out: </w:t>
      </w:r>
      <w:r w:rsidRPr="001424FB">
        <w:rPr>
          <w:rFonts w:ascii="Arial" w:hAnsi="Arial" w:cs="Arial"/>
          <w:b/>
        </w:rPr>
        <w:t>R68,400.00;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proofErr w:type="spellStart"/>
      <w:r w:rsidRPr="001424FB">
        <w:rPr>
          <w:rFonts w:ascii="Arial" w:hAnsi="Arial" w:cs="Arial"/>
        </w:rPr>
        <w:t>Organisational</w:t>
      </w:r>
      <w:proofErr w:type="spellEnd"/>
      <w:r w:rsidRPr="001424FB">
        <w:rPr>
          <w:rFonts w:ascii="Arial" w:hAnsi="Arial" w:cs="Arial"/>
        </w:rPr>
        <w:t xml:space="preserve"> Review Project Communication Management Support: </w:t>
      </w:r>
      <w:r w:rsidRPr="001424FB">
        <w:rPr>
          <w:rFonts w:ascii="Arial" w:hAnsi="Arial" w:cs="Arial"/>
          <w:b/>
        </w:rPr>
        <w:t>R102,600.00;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Media Monitoring Services: </w:t>
      </w:r>
      <w:r w:rsidRPr="001424FB">
        <w:rPr>
          <w:rFonts w:ascii="Arial" w:hAnsi="Arial" w:cs="Arial"/>
          <w:b/>
        </w:rPr>
        <w:t>R171, 000.00;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Embedded Resource: </w:t>
      </w:r>
      <w:r w:rsidRPr="001424FB">
        <w:rPr>
          <w:rFonts w:ascii="Arial" w:hAnsi="Arial" w:cs="Arial"/>
          <w:b/>
        </w:rPr>
        <w:t xml:space="preserve">R461,700.00; </w:t>
      </w:r>
      <w:r w:rsidRPr="001424FB">
        <w:rPr>
          <w:rFonts w:ascii="Arial" w:hAnsi="Arial" w:cs="Arial"/>
        </w:rPr>
        <w:t>and</w:t>
      </w:r>
      <w:r w:rsidRPr="001424FB">
        <w:rPr>
          <w:rFonts w:ascii="Arial" w:hAnsi="Arial" w:cs="Arial"/>
          <w:b/>
        </w:rPr>
        <w:t xml:space="preserve"> </w:t>
      </w:r>
    </w:p>
    <w:p w:rsidR="00DB0994" w:rsidRPr="001424FB" w:rsidRDefault="00DB0994" w:rsidP="00DB0994">
      <w:pPr>
        <w:numPr>
          <w:ilvl w:val="0"/>
          <w:numId w:val="9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Annual Report Publication:</w:t>
      </w:r>
      <w:r w:rsidRPr="001424FB">
        <w:rPr>
          <w:rFonts w:ascii="Arial" w:hAnsi="Arial" w:cs="Arial"/>
          <w:b/>
        </w:rPr>
        <w:t xml:space="preserve"> R39,900.00</w:t>
      </w: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FAIS OMBUD</w:t>
      </w:r>
    </w:p>
    <w:p w:rsidR="005A2799" w:rsidRPr="001424FB" w:rsidRDefault="005A2799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4E745C" w:rsidRPr="001424FB" w:rsidRDefault="004E745C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 xml:space="preserve">No services procured from and/or made any payments to a certain company (name furnished). </w:t>
      </w:r>
    </w:p>
    <w:p w:rsidR="004E745C" w:rsidRPr="001424FB" w:rsidRDefault="004E745C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 xml:space="preserve">No services procured from and/or made any payments to other public relations firms. The entity did not require the services of a public relations firm. </w:t>
      </w:r>
    </w:p>
    <w:p w:rsidR="0005447B" w:rsidRPr="001424FB" w:rsidRDefault="0005447B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PIC</w:t>
      </w:r>
    </w:p>
    <w:p w:rsidR="00DB0994" w:rsidRPr="001424FB" w:rsidRDefault="00DB0994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The Public Investment Corporation (PIC) has never procured any services from or made any payments to </w:t>
      </w:r>
      <w:r w:rsidRPr="001424FB">
        <w:rPr>
          <w:rFonts w:ascii="Arial" w:hAnsi="Arial" w:cs="Arial"/>
          <w:lang w:val="en-GB"/>
        </w:rPr>
        <w:t xml:space="preserve">a certain company (name furnished) </w:t>
      </w:r>
      <w:r w:rsidRPr="001424FB">
        <w:rPr>
          <w:rFonts w:ascii="Arial" w:hAnsi="Arial" w:cs="Arial"/>
        </w:rPr>
        <w:t xml:space="preserve">is not registered on the PIC’s procurement database.  The PIC used the services of The Communications Firm (TCF) </w:t>
      </w:r>
      <w:r w:rsidRPr="001424FB">
        <w:rPr>
          <w:rFonts w:ascii="Arial" w:hAnsi="Arial" w:cs="Arial"/>
        </w:rPr>
        <w:lastRenderedPageBreak/>
        <w:t xml:space="preserve">in 2011 to </w:t>
      </w:r>
      <w:proofErr w:type="spellStart"/>
      <w:r w:rsidRPr="001424FB">
        <w:rPr>
          <w:rFonts w:ascii="Arial" w:hAnsi="Arial" w:cs="Arial"/>
        </w:rPr>
        <w:t>organise</w:t>
      </w:r>
      <w:proofErr w:type="spellEnd"/>
      <w:r w:rsidRPr="001424FB">
        <w:rPr>
          <w:rFonts w:ascii="Arial" w:hAnsi="Arial" w:cs="Arial"/>
        </w:rPr>
        <w:t xml:space="preserve"> and </w:t>
      </w:r>
      <w:proofErr w:type="spellStart"/>
      <w:r w:rsidRPr="001424FB">
        <w:rPr>
          <w:rFonts w:ascii="Arial" w:hAnsi="Arial" w:cs="Arial"/>
        </w:rPr>
        <w:t>publicise</w:t>
      </w:r>
      <w:proofErr w:type="spellEnd"/>
      <w:r w:rsidRPr="001424FB">
        <w:rPr>
          <w:rFonts w:ascii="Arial" w:hAnsi="Arial" w:cs="Arial"/>
        </w:rPr>
        <w:t xml:space="preserve"> its centenary celebrations, including expo and dinner. It has also used TCF in subsequent years for marketing collateral as well as for English writing enhancement services; and the total cost for all these services was R 2,842,983.54, broken down as follows: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81"/>
      </w:tblGrid>
      <w:tr w:rsidR="00DB0994" w:rsidRPr="001424FB" w:rsidTr="00DB0994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  <w:b/>
              </w:rPr>
            </w:pPr>
            <w:r w:rsidRPr="001424F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  <w:b/>
              </w:rPr>
            </w:pPr>
            <w:r w:rsidRPr="001424FB">
              <w:rPr>
                <w:rFonts w:ascii="Arial" w:hAnsi="Arial" w:cs="Arial"/>
                <w:b/>
              </w:rPr>
              <w:t>Amount Paid</w:t>
            </w:r>
          </w:p>
        </w:tc>
      </w:tr>
      <w:tr w:rsidR="00DB0994" w:rsidRPr="001424FB" w:rsidTr="00DB0994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</w:rPr>
            </w:pPr>
            <w:r w:rsidRPr="001424FB">
              <w:rPr>
                <w:rFonts w:ascii="Arial" w:hAnsi="Arial" w:cs="Arial"/>
              </w:rPr>
              <w:t>PIC Centenary celebrations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</w:rPr>
            </w:pPr>
            <w:r w:rsidRPr="001424FB">
              <w:rPr>
                <w:rFonts w:ascii="Arial" w:hAnsi="Arial" w:cs="Arial"/>
              </w:rPr>
              <w:t>R 2,323,989.17</w:t>
            </w:r>
          </w:p>
        </w:tc>
      </w:tr>
      <w:tr w:rsidR="00DB0994" w:rsidRPr="001424FB" w:rsidTr="00DB0994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</w:rPr>
            </w:pPr>
            <w:r w:rsidRPr="001424FB">
              <w:rPr>
                <w:rFonts w:ascii="Arial" w:hAnsi="Arial" w:cs="Arial"/>
              </w:rPr>
              <w:t>Marketing Collateral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</w:rPr>
            </w:pPr>
            <w:r w:rsidRPr="001424FB">
              <w:rPr>
                <w:rFonts w:ascii="Arial" w:hAnsi="Arial" w:cs="Arial"/>
              </w:rPr>
              <w:t>R 507,684.41</w:t>
            </w:r>
          </w:p>
        </w:tc>
      </w:tr>
      <w:tr w:rsidR="00DB0994" w:rsidRPr="001424FB" w:rsidTr="00DB0994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</w:rPr>
            </w:pPr>
            <w:r w:rsidRPr="001424FB">
              <w:rPr>
                <w:rFonts w:ascii="Arial" w:hAnsi="Arial" w:cs="Arial"/>
              </w:rPr>
              <w:t>English writing enhancement services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94" w:rsidRPr="001424FB" w:rsidRDefault="00DB0994" w:rsidP="00DB0994">
            <w:pPr>
              <w:jc w:val="both"/>
              <w:rPr>
                <w:rFonts w:ascii="Arial" w:hAnsi="Arial" w:cs="Arial"/>
              </w:rPr>
            </w:pPr>
            <w:r w:rsidRPr="001424FB">
              <w:rPr>
                <w:rFonts w:ascii="Arial" w:hAnsi="Arial" w:cs="Arial"/>
              </w:rPr>
              <w:t>R 11,309.96</w:t>
            </w:r>
          </w:p>
        </w:tc>
      </w:tr>
    </w:tbl>
    <w:p w:rsidR="0005447B" w:rsidRPr="001424FB" w:rsidRDefault="0005447B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SAA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</w:p>
    <w:p w:rsidR="00DB0994" w:rsidRPr="001424FB" w:rsidRDefault="00DB0994" w:rsidP="00DB0994">
      <w:pPr>
        <w:numPr>
          <w:ilvl w:val="0"/>
          <w:numId w:val="10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SAA has not procured any services from and/or made any payments to </w:t>
      </w:r>
      <w:r w:rsidRPr="001424FB">
        <w:rPr>
          <w:rFonts w:ascii="Arial" w:eastAsia="Calibri" w:hAnsi="Arial" w:cs="Arial"/>
          <w:lang w:val="en-GB"/>
        </w:rPr>
        <w:t>a certain company (name furnished)</w:t>
      </w:r>
      <w:r w:rsidRPr="001424FB">
        <w:rPr>
          <w:rFonts w:ascii="Arial" w:hAnsi="Arial" w:cs="Arial"/>
        </w:rPr>
        <w:t>.</w:t>
      </w:r>
    </w:p>
    <w:p w:rsidR="00DB0994" w:rsidRPr="001424FB" w:rsidRDefault="00DB0994" w:rsidP="00DB0994">
      <w:pPr>
        <w:numPr>
          <w:ilvl w:val="0"/>
          <w:numId w:val="10"/>
        </w:numPr>
        <w:tabs>
          <w:tab w:val="left" w:pos="432"/>
          <w:tab w:val="left" w:pos="86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SAA has procured the services of PR Powerhouse Public Relations and details are as follows: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590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gramStart"/>
      <w:r w:rsidRPr="001424FB">
        <w:rPr>
          <w:rFonts w:ascii="Arial" w:hAnsi="Arial" w:cs="Arial"/>
        </w:rPr>
        <w:t>aa</w:t>
      </w:r>
      <w:proofErr w:type="gramEnd"/>
      <w:r w:rsidRPr="001424FB">
        <w:rPr>
          <w:rFonts w:ascii="Arial" w:hAnsi="Arial" w:cs="Arial"/>
        </w:rPr>
        <w:t>) Provision of Public Relations Services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590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gramStart"/>
      <w:r w:rsidRPr="001424FB">
        <w:rPr>
          <w:rFonts w:ascii="Arial" w:hAnsi="Arial" w:cs="Arial"/>
        </w:rPr>
        <w:t>bb</w:t>
      </w:r>
      <w:proofErr w:type="gramEnd"/>
      <w:r w:rsidRPr="001424FB">
        <w:rPr>
          <w:rFonts w:ascii="Arial" w:hAnsi="Arial" w:cs="Arial"/>
        </w:rPr>
        <w:t>) R96 900 per month (including VAT), for five months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590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(cc) Copy writing; Media relations; Briefing and Status meetings; Communication Services 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590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spellStart"/>
      <w:proofErr w:type="gramStart"/>
      <w:r w:rsidRPr="001424FB">
        <w:rPr>
          <w:rFonts w:ascii="Arial" w:hAnsi="Arial" w:cs="Arial"/>
        </w:rPr>
        <w:t>dd</w:t>
      </w:r>
      <w:proofErr w:type="spellEnd"/>
      <w:proofErr w:type="gramEnd"/>
      <w:r w:rsidRPr="001424FB">
        <w:rPr>
          <w:rFonts w:ascii="Arial" w:hAnsi="Arial" w:cs="Arial"/>
        </w:rPr>
        <w:t xml:space="preserve">) R484 900 paid as per contract 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590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spellStart"/>
      <w:proofErr w:type="gramStart"/>
      <w:r w:rsidRPr="001424FB">
        <w:rPr>
          <w:rFonts w:ascii="Arial" w:hAnsi="Arial" w:cs="Arial"/>
        </w:rPr>
        <w:t>ee</w:t>
      </w:r>
      <w:proofErr w:type="spellEnd"/>
      <w:proofErr w:type="gramEnd"/>
      <w:r w:rsidRPr="001424FB">
        <w:rPr>
          <w:rFonts w:ascii="Arial" w:hAnsi="Arial" w:cs="Arial"/>
        </w:rPr>
        <w:t>) Provision of Public Relations Services</w:t>
      </w: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ind w:left="1590"/>
        <w:contextualSpacing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>(</w:t>
      </w:r>
      <w:proofErr w:type="spellStart"/>
      <w:proofErr w:type="gramStart"/>
      <w:r w:rsidRPr="001424FB">
        <w:rPr>
          <w:rFonts w:ascii="Arial" w:hAnsi="Arial" w:cs="Arial"/>
        </w:rPr>
        <w:t>ff</w:t>
      </w:r>
      <w:proofErr w:type="spellEnd"/>
      <w:proofErr w:type="gramEnd"/>
      <w:r w:rsidRPr="001424FB">
        <w:rPr>
          <w:rFonts w:ascii="Arial" w:hAnsi="Arial" w:cs="Arial"/>
        </w:rPr>
        <w:t>) As at (cc) above SAA has procured the service</w:t>
      </w:r>
    </w:p>
    <w:p w:rsidR="0005447B" w:rsidRPr="001424FB" w:rsidRDefault="0005447B" w:rsidP="0005447B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5447B" w:rsidRPr="001424FB" w:rsidRDefault="0005447B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SARS</w:t>
      </w:r>
    </w:p>
    <w:p w:rsidR="00DB0994" w:rsidRPr="001424FB" w:rsidRDefault="00DB0994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DB0994" w:rsidRPr="001424FB" w:rsidRDefault="00DB0994" w:rsidP="00DB099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1424FB">
        <w:rPr>
          <w:rFonts w:ascii="Arial" w:hAnsi="Arial" w:cs="Arial"/>
        </w:rPr>
        <w:t xml:space="preserve">SARS does not have </w:t>
      </w:r>
      <w:r w:rsidRPr="001424FB">
        <w:rPr>
          <w:rFonts w:ascii="Arial" w:eastAsia="Calibri" w:hAnsi="Arial" w:cs="Arial"/>
          <w:lang w:val="en-GB"/>
        </w:rPr>
        <w:t xml:space="preserve">this certain company (name furnished) </w:t>
      </w:r>
      <w:r w:rsidRPr="001424FB">
        <w:rPr>
          <w:rFonts w:ascii="Arial" w:hAnsi="Arial" w:cs="Arial"/>
        </w:rPr>
        <w:t>as a vendor on its system and has not contracted any Public Relations firms for the financial years 2015/16 and 2016/17.</w:t>
      </w:r>
    </w:p>
    <w:p w:rsidR="009026C6" w:rsidRPr="001424FB" w:rsidRDefault="009026C6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t>SASRIA</w:t>
      </w:r>
    </w:p>
    <w:p w:rsidR="001424FB" w:rsidRPr="001424FB" w:rsidRDefault="001424FB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DB0994" w:rsidRPr="001424FB" w:rsidRDefault="00DB0994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 xml:space="preserve">No. </w:t>
      </w:r>
    </w:p>
    <w:p w:rsidR="004E745C" w:rsidRPr="001424FB" w:rsidRDefault="004E745C" w:rsidP="004707BA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</w:p>
    <w:p w:rsidR="005A2799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1424FB" w:rsidRDefault="001424FB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1424FB" w:rsidRPr="001424FB" w:rsidRDefault="001424FB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r w:rsidRPr="001424FB">
        <w:rPr>
          <w:rFonts w:ascii="Arial" w:hAnsi="Arial" w:cs="Arial"/>
          <w:b/>
          <w:lang w:val="en-GB"/>
        </w:rPr>
        <w:lastRenderedPageBreak/>
        <w:t>TAX OMBUD</w:t>
      </w:r>
    </w:p>
    <w:p w:rsidR="005A2799" w:rsidRPr="001424FB" w:rsidRDefault="008E2354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GB"/>
        </w:rPr>
      </w:pPr>
      <w:r w:rsidRPr="001424FB">
        <w:rPr>
          <w:rFonts w:ascii="Arial" w:hAnsi="Arial" w:cs="Arial"/>
          <w:lang w:val="en-GB"/>
        </w:rPr>
        <w:t xml:space="preserve">The Office of the Tax </w:t>
      </w:r>
      <w:proofErr w:type="spellStart"/>
      <w:r w:rsidRPr="001424FB">
        <w:rPr>
          <w:rFonts w:ascii="Arial" w:hAnsi="Arial" w:cs="Arial"/>
          <w:lang w:val="en-GB"/>
        </w:rPr>
        <w:t>Ombud</w:t>
      </w:r>
      <w:proofErr w:type="spellEnd"/>
      <w:r w:rsidRPr="001424FB">
        <w:rPr>
          <w:rFonts w:ascii="Arial" w:hAnsi="Arial" w:cs="Arial"/>
          <w:lang w:val="en-GB"/>
        </w:rPr>
        <w:t xml:space="preserve"> did not procure any services from or made any payments to a certain company (name furnished) or any other public relations firms, no services were procured by the Office of the Tax </w:t>
      </w:r>
      <w:proofErr w:type="spellStart"/>
      <w:r w:rsidRPr="001424FB">
        <w:rPr>
          <w:rFonts w:ascii="Arial" w:hAnsi="Arial" w:cs="Arial"/>
          <w:lang w:val="en-GB"/>
        </w:rPr>
        <w:t>Ombud</w:t>
      </w:r>
      <w:proofErr w:type="spellEnd"/>
      <w:r w:rsidRPr="001424FB">
        <w:rPr>
          <w:rFonts w:ascii="Arial" w:hAnsi="Arial" w:cs="Arial"/>
          <w:lang w:val="en-GB"/>
        </w:rPr>
        <w:t xml:space="preserve">. </w:t>
      </w:r>
    </w:p>
    <w:p w:rsidR="0005447B" w:rsidRPr="001424FB" w:rsidRDefault="0005447B" w:rsidP="0005447B">
      <w:pPr>
        <w:pBdr>
          <w:bottom w:val="single" w:sz="6" w:space="1" w:color="auto"/>
        </w:pBd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5A2799" w:rsidRPr="001424FB" w:rsidRDefault="005A2799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1424FB" w:rsidRPr="001424FB" w:rsidRDefault="001424FB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</w:p>
    <w:p w:rsidR="004707BA" w:rsidRPr="001424FB" w:rsidRDefault="004707BA" w:rsidP="004707B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 w:rsidRPr="001424FB">
        <w:rPr>
          <w:rFonts w:ascii="Arial" w:hAnsi="Arial" w:cs="Arial"/>
          <w:b/>
          <w:lang w:val="en-GB"/>
        </w:rPr>
        <w:tab/>
        <w:t xml:space="preserve"> </w:t>
      </w:r>
    </w:p>
    <w:sectPr w:rsidR="004707BA" w:rsidRPr="001424FB" w:rsidSect="001424FB">
      <w:pgSz w:w="12240" w:h="15840" w:code="1"/>
      <w:pgMar w:top="1418" w:right="1418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D8"/>
    <w:multiLevelType w:val="hybridMultilevel"/>
    <w:tmpl w:val="9D7ABA2E"/>
    <w:lvl w:ilvl="0" w:tplc="F6F4A0F0">
      <w:start w:val="1"/>
      <w:numFmt w:val="lowerRoman"/>
      <w:lvlText w:val="%1."/>
      <w:lvlJc w:val="left"/>
      <w:pPr>
        <w:ind w:left="720" w:hanging="72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0412E"/>
    <w:multiLevelType w:val="hybridMultilevel"/>
    <w:tmpl w:val="F5D46A94"/>
    <w:lvl w:ilvl="0" w:tplc="BCE8B658">
      <w:start w:val="1"/>
      <w:numFmt w:val="lowerRoman"/>
      <w:lvlText w:val="(%1)"/>
      <w:lvlJc w:val="left"/>
      <w:pPr>
        <w:ind w:left="1590" w:hanging="720"/>
      </w:pPr>
    </w:lvl>
    <w:lvl w:ilvl="1" w:tplc="1C090019">
      <w:start w:val="1"/>
      <w:numFmt w:val="lowerLetter"/>
      <w:lvlText w:val="%2."/>
      <w:lvlJc w:val="left"/>
      <w:pPr>
        <w:ind w:left="1950" w:hanging="360"/>
      </w:pPr>
    </w:lvl>
    <w:lvl w:ilvl="2" w:tplc="1C09001B">
      <w:start w:val="1"/>
      <w:numFmt w:val="lowerRoman"/>
      <w:lvlText w:val="%3."/>
      <w:lvlJc w:val="right"/>
      <w:pPr>
        <w:ind w:left="2670" w:hanging="180"/>
      </w:pPr>
    </w:lvl>
    <w:lvl w:ilvl="3" w:tplc="1C09000F">
      <w:start w:val="1"/>
      <w:numFmt w:val="decimal"/>
      <w:lvlText w:val="%4."/>
      <w:lvlJc w:val="left"/>
      <w:pPr>
        <w:ind w:left="3390" w:hanging="360"/>
      </w:pPr>
    </w:lvl>
    <w:lvl w:ilvl="4" w:tplc="1C090019">
      <w:start w:val="1"/>
      <w:numFmt w:val="lowerLetter"/>
      <w:lvlText w:val="%5."/>
      <w:lvlJc w:val="left"/>
      <w:pPr>
        <w:ind w:left="4110" w:hanging="360"/>
      </w:pPr>
    </w:lvl>
    <w:lvl w:ilvl="5" w:tplc="1C09001B">
      <w:start w:val="1"/>
      <w:numFmt w:val="lowerRoman"/>
      <w:lvlText w:val="%6."/>
      <w:lvlJc w:val="right"/>
      <w:pPr>
        <w:ind w:left="4830" w:hanging="180"/>
      </w:pPr>
    </w:lvl>
    <w:lvl w:ilvl="6" w:tplc="1C09000F">
      <w:start w:val="1"/>
      <w:numFmt w:val="decimal"/>
      <w:lvlText w:val="%7."/>
      <w:lvlJc w:val="left"/>
      <w:pPr>
        <w:ind w:left="5550" w:hanging="360"/>
      </w:pPr>
    </w:lvl>
    <w:lvl w:ilvl="7" w:tplc="1C090019">
      <w:start w:val="1"/>
      <w:numFmt w:val="lowerLetter"/>
      <w:lvlText w:val="%8."/>
      <w:lvlJc w:val="left"/>
      <w:pPr>
        <w:ind w:left="6270" w:hanging="360"/>
      </w:pPr>
    </w:lvl>
    <w:lvl w:ilvl="8" w:tplc="1C09001B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DD87954"/>
    <w:multiLevelType w:val="hybridMultilevel"/>
    <w:tmpl w:val="B36A926E"/>
    <w:lvl w:ilvl="0" w:tplc="10FE3DD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2178"/>
    <w:multiLevelType w:val="hybridMultilevel"/>
    <w:tmpl w:val="461E7BA4"/>
    <w:lvl w:ilvl="0" w:tplc="936C3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1CB7"/>
    <w:multiLevelType w:val="hybridMultilevel"/>
    <w:tmpl w:val="F04E8B90"/>
    <w:lvl w:ilvl="0" w:tplc="B85E704E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334D"/>
    <w:multiLevelType w:val="hybridMultilevel"/>
    <w:tmpl w:val="84C04490"/>
    <w:lvl w:ilvl="0" w:tplc="137E4E7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D67E5"/>
    <w:multiLevelType w:val="hybridMultilevel"/>
    <w:tmpl w:val="1FB6F05C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E96C35"/>
    <w:multiLevelType w:val="hybridMultilevel"/>
    <w:tmpl w:val="99585B4E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24285F"/>
    <w:multiLevelType w:val="hybridMultilevel"/>
    <w:tmpl w:val="E954E196"/>
    <w:lvl w:ilvl="0" w:tplc="64F8135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1"/>
    <w:rsid w:val="00020C04"/>
    <w:rsid w:val="0004324C"/>
    <w:rsid w:val="0005447B"/>
    <w:rsid w:val="000C48D8"/>
    <w:rsid w:val="000F3B14"/>
    <w:rsid w:val="001424FB"/>
    <w:rsid w:val="001433AE"/>
    <w:rsid w:val="0015727B"/>
    <w:rsid w:val="001713D2"/>
    <w:rsid w:val="0017192B"/>
    <w:rsid w:val="001B0917"/>
    <w:rsid w:val="001E3FB5"/>
    <w:rsid w:val="001E6902"/>
    <w:rsid w:val="002034E0"/>
    <w:rsid w:val="00232DD2"/>
    <w:rsid w:val="00286E5F"/>
    <w:rsid w:val="002D3CF5"/>
    <w:rsid w:val="002F6E86"/>
    <w:rsid w:val="003421BD"/>
    <w:rsid w:val="003442F8"/>
    <w:rsid w:val="00415B6C"/>
    <w:rsid w:val="00415BF2"/>
    <w:rsid w:val="00426835"/>
    <w:rsid w:val="004707BA"/>
    <w:rsid w:val="00490E85"/>
    <w:rsid w:val="004A04B2"/>
    <w:rsid w:val="004E745C"/>
    <w:rsid w:val="005141B3"/>
    <w:rsid w:val="00517F7E"/>
    <w:rsid w:val="00525ED1"/>
    <w:rsid w:val="00554EC9"/>
    <w:rsid w:val="00563A6F"/>
    <w:rsid w:val="00574E19"/>
    <w:rsid w:val="005A2799"/>
    <w:rsid w:val="00613FC6"/>
    <w:rsid w:val="006239F1"/>
    <w:rsid w:val="00624D20"/>
    <w:rsid w:val="0062770E"/>
    <w:rsid w:val="0064275F"/>
    <w:rsid w:val="00645C51"/>
    <w:rsid w:val="00647EF2"/>
    <w:rsid w:val="00653A85"/>
    <w:rsid w:val="007118EA"/>
    <w:rsid w:val="00726A9C"/>
    <w:rsid w:val="007359BF"/>
    <w:rsid w:val="007656B6"/>
    <w:rsid w:val="007914E0"/>
    <w:rsid w:val="007A32AF"/>
    <w:rsid w:val="007B1BA1"/>
    <w:rsid w:val="00813476"/>
    <w:rsid w:val="00891265"/>
    <w:rsid w:val="008A1D98"/>
    <w:rsid w:val="008C2559"/>
    <w:rsid w:val="008D7FD9"/>
    <w:rsid w:val="008E2354"/>
    <w:rsid w:val="009026C6"/>
    <w:rsid w:val="00911717"/>
    <w:rsid w:val="009163A5"/>
    <w:rsid w:val="00953363"/>
    <w:rsid w:val="0096007E"/>
    <w:rsid w:val="009A18A7"/>
    <w:rsid w:val="009E021A"/>
    <w:rsid w:val="00A27751"/>
    <w:rsid w:val="00A525F0"/>
    <w:rsid w:val="00A72B9B"/>
    <w:rsid w:val="00A7475B"/>
    <w:rsid w:val="00AD00CE"/>
    <w:rsid w:val="00AD5C9B"/>
    <w:rsid w:val="00B25CDD"/>
    <w:rsid w:val="00B447E6"/>
    <w:rsid w:val="00B70D1F"/>
    <w:rsid w:val="00B72BFE"/>
    <w:rsid w:val="00B77F67"/>
    <w:rsid w:val="00BA521B"/>
    <w:rsid w:val="00BD31C6"/>
    <w:rsid w:val="00C25C7E"/>
    <w:rsid w:val="00C312EA"/>
    <w:rsid w:val="00C44C35"/>
    <w:rsid w:val="00C60822"/>
    <w:rsid w:val="00C70F4D"/>
    <w:rsid w:val="00CC2F3E"/>
    <w:rsid w:val="00DB0994"/>
    <w:rsid w:val="00DB2463"/>
    <w:rsid w:val="00DC327D"/>
    <w:rsid w:val="00DC41DF"/>
    <w:rsid w:val="00DC5681"/>
    <w:rsid w:val="00DD5296"/>
    <w:rsid w:val="00DF0D26"/>
    <w:rsid w:val="00E77DF6"/>
    <w:rsid w:val="00E8352B"/>
    <w:rsid w:val="00EA6A49"/>
    <w:rsid w:val="00F51C17"/>
    <w:rsid w:val="00F5334D"/>
    <w:rsid w:val="00F5571A"/>
    <w:rsid w:val="00F87EA6"/>
    <w:rsid w:val="00FC2064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B0994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B0994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ocuments\NATIONAL%20ASSEMB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C1EE-EC20-4FE2-9C3E-FE3A8839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ASSEMBLY</Template>
  <TotalTime>1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2017-05-16T06:54:00Z</cp:lastPrinted>
  <dcterms:created xsi:type="dcterms:W3CDTF">2017-06-23T09:12:00Z</dcterms:created>
  <dcterms:modified xsi:type="dcterms:W3CDTF">2017-06-23T09:12:00Z</dcterms:modified>
</cp:coreProperties>
</file>