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4A" w:rsidRDefault="00217A4A" w:rsidP="00DA6C93">
      <w:pPr>
        <w:spacing w:after="200" w:line="276" w:lineRule="auto"/>
        <w:rPr>
          <w:rFonts w:ascii="Arial" w:eastAsia="Calibri" w:hAnsi="Arial" w:cs="Arial"/>
          <w:b/>
          <w:bCs/>
          <w:lang w:val="en-GB"/>
        </w:rPr>
      </w:pPr>
      <w:r>
        <w:rPr>
          <w:rFonts w:ascii="Arial" w:eastAsia="Calibri" w:hAnsi="Arial" w:cs="Arial"/>
          <w:b/>
          <w:bCs/>
          <w:lang w:val="en-ZA"/>
        </w:rPr>
        <w:t>NATIONAL ASSEMBLY</w:t>
      </w:r>
    </w:p>
    <w:p w:rsidR="00217A4A" w:rsidRDefault="00DA6C93" w:rsidP="00DA6C93">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17A4A">
        <w:rPr>
          <w:rFonts w:ascii="Arial" w:eastAsia="Calibri" w:hAnsi="Arial" w:cs="Arial"/>
          <w:b/>
          <w:bCs/>
          <w:lang w:val="en-GB"/>
        </w:rPr>
        <w:t>FOR WRITTEN REPLY</w:t>
      </w:r>
    </w:p>
    <w:p w:rsidR="00217A4A" w:rsidRDefault="00DA6C93" w:rsidP="00DA6C93">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17A4A">
        <w:rPr>
          <w:rFonts w:ascii="Arial" w:eastAsia="Calibri" w:hAnsi="Arial" w:cs="Arial"/>
          <w:b/>
          <w:bCs/>
          <w:lang w:val="en-GB"/>
        </w:rPr>
        <w:t xml:space="preserve">QUESTION </w:t>
      </w:r>
      <w:r>
        <w:rPr>
          <w:rFonts w:ascii="Arial" w:eastAsia="Calibri" w:hAnsi="Arial" w:cs="Arial"/>
          <w:b/>
          <w:bCs/>
          <w:lang w:val="en-GB"/>
        </w:rPr>
        <w:t xml:space="preserve">NO: </w:t>
      </w:r>
      <w:r w:rsidR="00217A4A">
        <w:rPr>
          <w:rFonts w:ascii="Arial" w:eastAsia="Calibri" w:hAnsi="Arial" w:cs="Arial"/>
          <w:b/>
          <w:bCs/>
          <w:lang w:val="en-GB"/>
        </w:rPr>
        <w:t>1478</w:t>
      </w:r>
    </w:p>
    <w:p w:rsidR="00217A4A" w:rsidRPr="00DA6C93" w:rsidRDefault="00217A4A" w:rsidP="00DA6C93">
      <w:pPr>
        <w:spacing w:after="200" w:line="276" w:lineRule="auto"/>
        <w:rPr>
          <w:rFonts w:ascii="Arial" w:eastAsia="Calibri" w:hAnsi="Arial" w:cs="Arial"/>
          <w:b/>
          <w:bCs/>
          <w:lang w:val="en-GB"/>
        </w:rPr>
      </w:pPr>
      <w:r w:rsidRPr="00DA6C93">
        <w:rPr>
          <w:rFonts w:ascii="Arial" w:eastAsia="Calibri" w:hAnsi="Arial" w:cs="Arial"/>
          <w:b/>
          <w:bCs/>
          <w:lang w:val="en-GB"/>
        </w:rPr>
        <w:t>DATE OF QUESTION: 10</w:t>
      </w:r>
      <w:r w:rsidR="00DA6C93" w:rsidRPr="00DA6C93">
        <w:rPr>
          <w:rFonts w:ascii="Arial" w:eastAsia="Calibri" w:hAnsi="Arial" w:cs="Arial"/>
          <w:b/>
          <w:bCs/>
          <w:lang w:val="en-GB"/>
        </w:rPr>
        <w:t xml:space="preserve"> JULY </w:t>
      </w:r>
      <w:r w:rsidRPr="00DA6C93">
        <w:rPr>
          <w:rFonts w:ascii="Arial" w:eastAsia="Calibri" w:hAnsi="Arial" w:cs="Arial"/>
          <w:b/>
          <w:bCs/>
          <w:lang w:val="en-GB"/>
        </w:rPr>
        <w:t>2020</w:t>
      </w:r>
    </w:p>
    <w:p w:rsidR="00217A4A" w:rsidRPr="00DA6C93" w:rsidRDefault="00217A4A" w:rsidP="00DA6C93">
      <w:pPr>
        <w:spacing w:before="100" w:beforeAutospacing="1" w:after="100" w:afterAutospacing="1" w:line="276" w:lineRule="auto"/>
        <w:outlineLvl w:val="0"/>
        <w:rPr>
          <w:rFonts w:ascii="Arial" w:eastAsia="Calibri" w:hAnsi="Arial" w:cs="Arial"/>
          <w:b/>
          <w:bCs/>
          <w:lang w:val="en-GB"/>
        </w:rPr>
      </w:pPr>
      <w:r w:rsidRPr="00DA6C93">
        <w:rPr>
          <w:rFonts w:ascii="Arial" w:eastAsia="Calibri" w:hAnsi="Arial" w:cs="Arial"/>
          <w:b/>
          <w:bCs/>
          <w:lang w:val="en-GB"/>
        </w:rPr>
        <w:t>DATE OF SUBMISSION: 24 JULY 2020</w:t>
      </w:r>
    </w:p>
    <w:p w:rsidR="00217A4A" w:rsidRDefault="00217A4A" w:rsidP="00217A4A">
      <w:pPr>
        <w:spacing w:before="120" w:after="120" w:line="360" w:lineRule="auto"/>
        <w:jc w:val="both"/>
        <w:rPr>
          <w:rFonts w:ascii="Arial" w:hAnsi="Arial" w:cs="Arial"/>
          <w:b/>
          <w:bCs/>
          <w:lang w:val="en-ZA"/>
        </w:rPr>
      </w:pPr>
      <w:r>
        <w:rPr>
          <w:rFonts w:ascii="Arial" w:hAnsi="Arial" w:cs="Arial"/>
          <w:b/>
          <w:bCs/>
          <w:lang w:val="en-ZA"/>
        </w:rPr>
        <w:t>Ms N N Chirwa (EFF) to ask the Minister of Justice and Correctional Services</w:t>
      </w:r>
      <w:r>
        <w:rPr>
          <w:rFonts w:ascii="Arial" w:hAnsi="Arial" w:cs="Arial"/>
          <w:b/>
          <w:bCs/>
          <w:lang w:val="en-ZA"/>
        </w:rPr>
        <w:fldChar w:fldCharType="begin"/>
      </w:r>
      <w:r>
        <w:rPr>
          <w:rFonts w:ascii="Arial" w:hAnsi="Arial" w:cs="Arial"/>
          <w:b/>
          <w:bCs/>
          <w:lang w:val="en-ZA"/>
        </w:rPr>
        <w:instrText xml:space="preserve"> XE "Justice and Correctional Services" </w:instrText>
      </w:r>
      <w:r>
        <w:rPr>
          <w:rFonts w:ascii="Arial" w:hAnsi="Arial" w:cs="Arial"/>
          <w:b/>
          <w:bCs/>
          <w:lang w:val="en-ZA"/>
        </w:rPr>
        <w:fldChar w:fldCharType="end"/>
      </w:r>
      <w:r>
        <w:rPr>
          <w:rFonts w:ascii="Arial" w:hAnsi="Arial" w:cs="Arial"/>
          <w:b/>
          <w:bCs/>
          <w:lang w:val="en-ZA"/>
        </w:rPr>
        <w:t>:</w:t>
      </w:r>
    </w:p>
    <w:p w:rsidR="00217A4A" w:rsidRDefault="00217A4A" w:rsidP="00217A4A">
      <w:pPr>
        <w:numPr>
          <w:ilvl w:val="0"/>
          <w:numId w:val="1"/>
        </w:numPr>
        <w:spacing w:before="120" w:after="120" w:line="360" w:lineRule="auto"/>
        <w:jc w:val="both"/>
        <w:rPr>
          <w:rFonts w:ascii="Arial" w:hAnsi="Arial" w:cs="Arial"/>
          <w:lang w:val="en-ZA"/>
        </w:rPr>
      </w:pPr>
      <w:r>
        <w:rPr>
          <w:rFonts w:ascii="Arial" w:hAnsi="Arial" w:cs="Arial"/>
          <w:lang w:val="en-ZA"/>
        </w:rPr>
        <w:t>Why (i) does he encourage women to break the silence on the scourge of gender based violence (GBV), but fails to protect them against arrest and criminalisation when they speak out against the abuse and violence they experience like has happened to Lerato Moloi, the South African model and television presenter, whose alleged perpetrator filed charges against her instead and (ii) are the victims, who have defied the silencing grip of sexual and GBV, charged before a court with greater speed and efficiency than is the case of a perpetrator of such violence;</w:t>
      </w:r>
    </w:p>
    <w:p w:rsidR="00217A4A" w:rsidRDefault="00217A4A" w:rsidP="00217A4A">
      <w:pPr>
        <w:numPr>
          <w:ilvl w:val="0"/>
          <w:numId w:val="1"/>
        </w:numPr>
        <w:spacing w:before="120" w:after="120" w:line="360" w:lineRule="auto"/>
        <w:jc w:val="both"/>
        <w:rPr>
          <w:rFonts w:ascii="Arial" w:hAnsi="Arial" w:cs="Arial"/>
          <w:lang w:val="en-ZA"/>
        </w:rPr>
      </w:pPr>
      <w:r>
        <w:rPr>
          <w:rFonts w:ascii="Arial" w:hAnsi="Arial" w:cs="Arial"/>
          <w:lang w:val="en-ZA"/>
        </w:rPr>
        <w:t>what (i) recourse do victims of GBV have when the judicial system leaves them exposed to secondary abuse so that speaking out becomes a far more frightening option and (ii) are the reasons that he therefore encourages women to speak out against the violence they have experienced when the judicial system fails to protect them against secondary abuse?</w:t>
      </w:r>
    </w:p>
    <w:p w:rsidR="00217A4A" w:rsidRDefault="00217A4A" w:rsidP="00217A4A">
      <w:pPr>
        <w:spacing w:before="120" w:after="120" w:line="360" w:lineRule="auto"/>
        <w:ind w:left="360"/>
        <w:jc w:val="right"/>
        <w:rPr>
          <w:rFonts w:ascii="Arial" w:hAnsi="Arial" w:cs="Arial"/>
          <w:b/>
          <w:lang w:val="en-ZA"/>
        </w:rPr>
      </w:pPr>
      <w:r>
        <w:rPr>
          <w:rFonts w:ascii="Arial" w:hAnsi="Arial" w:cs="Arial"/>
          <w:b/>
          <w:lang w:val="en-ZA"/>
        </w:rPr>
        <w:t>NW1849E</w:t>
      </w:r>
    </w:p>
    <w:p w:rsidR="00217A4A" w:rsidRDefault="00217A4A" w:rsidP="00217A4A">
      <w:pPr>
        <w:spacing w:before="120" w:after="120" w:line="360" w:lineRule="auto"/>
        <w:ind w:left="360"/>
        <w:jc w:val="right"/>
        <w:rPr>
          <w:rFonts w:ascii="Arial" w:hAnsi="Arial" w:cs="Arial"/>
          <w:b/>
          <w:lang w:val="en-ZA"/>
        </w:rPr>
      </w:pPr>
    </w:p>
    <w:p w:rsidR="00217A4A" w:rsidRDefault="00217A4A" w:rsidP="006A60FF">
      <w:pPr>
        <w:spacing w:line="360" w:lineRule="auto"/>
        <w:jc w:val="both"/>
        <w:rPr>
          <w:rFonts w:ascii="Arial" w:hAnsi="Arial" w:cs="Arial"/>
          <w:b/>
        </w:rPr>
      </w:pPr>
      <w:r>
        <w:rPr>
          <w:rFonts w:ascii="Arial" w:hAnsi="Arial" w:cs="Arial"/>
          <w:b/>
        </w:rPr>
        <w:br w:type="page"/>
      </w:r>
      <w:r>
        <w:rPr>
          <w:rFonts w:ascii="Arial" w:hAnsi="Arial" w:cs="Arial"/>
          <w:b/>
        </w:rPr>
        <w:lastRenderedPageBreak/>
        <w:t>REPLY:</w:t>
      </w:r>
    </w:p>
    <w:p w:rsidR="006A60FF" w:rsidRDefault="006A60FF" w:rsidP="006A60FF">
      <w:pPr>
        <w:spacing w:line="360" w:lineRule="auto"/>
        <w:jc w:val="both"/>
        <w:rPr>
          <w:rFonts w:ascii="Arial" w:hAnsi="Arial" w:cs="Arial"/>
          <w:b/>
        </w:rPr>
      </w:pPr>
    </w:p>
    <w:p w:rsidR="00DE4BD2" w:rsidRDefault="00913512" w:rsidP="00DE4BD2">
      <w:pPr>
        <w:numPr>
          <w:ilvl w:val="0"/>
          <w:numId w:val="6"/>
        </w:numPr>
        <w:spacing w:line="360" w:lineRule="auto"/>
        <w:jc w:val="both"/>
        <w:rPr>
          <w:rFonts w:ascii="Arial" w:hAnsi="Arial" w:cs="Arial"/>
        </w:rPr>
      </w:pPr>
      <w:r>
        <w:rPr>
          <w:rFonts w:ascii="Arial" w:hAnsi="Arial" w:cs="Arial"/>
        </w:rPr>
        <w:t>(i)</w:t>
      </w:r>
      <w:r>
        <w:rPr>
          <w:rFonts w:ascii="Arial" w:hAnsi="Arial" w:cs="Arial"/>
        </w:rPr>
        <w:tab/>
        <w:t xml:space="preserve">Reducing </w:t>
      </w:r>
      <w:r w:rsidR="004B356A">
        <w:rPr>
          <w:rFonts w:ascii="Arial" w:hAnsi="Arial" w:cs="Arial"/>
        </w:rPr>
        <w:t xml:space="preserve">the </w:t>
      </w:r>
      <w:r>
        <w:rPr>
          <w:rFonts w:ascii="Arial" w:hAnsi="Arial" w:cs="Arial"/>
        </w:rPr>
        <w:t>secondary victimization</w:t>
      </w:r>
      <w:r w:rsidR="004B356A">
        <w:rPr>
          <w:rFonts w:ascii="Arial" w:hAnsi="Arial" w:cs="Arial"/>
        </w:rPr>
        <w:t xml:space="preserve"> or trauma</w:t>
      </w:r>
      <w:r>
        <w:rPr>
          <w:rFonts w:ascii="Arial" w:hAnsi="Arial" w:cs="Arial"/>
        </w:rPr>
        <w:t xml:space="preserve"> of </w:t>
      </w:r>
      <w:r w:rsidR="00DE4BD2">
        <w:rPr>
          <w:rFonts w:ascii="Arial" w:hAnsi="Arial" w:cs="Arial"/>
        </w:rPr>
        <w:t xml:space="preserve">Gender-Based Violence </w:t>
      </w:r>
    </w:p>
    <w:p w:rsidR="00913512" w:rsidRDefault="00DE4BD2" w:rsidP="00DE4BD2">
      <w:pPr>
        <w:spacing w:line="360" w:lineRule="auto"/>
        <w:ind w:left="720"/>
        <w:jc w:val="both"/>
        <w:rPr>
          <w:rFonts w:ascii="Arial" w:hAnsi="Arial" w:cs="Arial"/>
        </w:rPr>
      </w:pPr>
      <w:r>
        <w:rPr>
          <w:rFonts w:ascii="Arial" w:hAnsi="Arial" w:cs="Arial"/>
        </w:rPr>
        <w:t>(</w:t>
      </w:r>
      <w:r w:rsidR="00913512">
        <w:rPr>
          <w:rFonts w:ascii="Arial" w:hAnsi="Arial" w:cs="Arial"/>
        </w:rPr>
        <w:t>GBV</w:t>
      </w:r>
      <w:r>
        <w:rPr>
          <w:rFonts w:ascii="Arial" w:hAnsi="Arial" w:cs="Arial"/>
        </w:rPr>
        <w:t>)</w:t>
      </w:r>
      <w:r w:rsidR="00913512">
        <w:rPr>
          <w:rFonts w:ascii="Arial" w:hAnsi="Arial" w:cs="Arial"/>
        </w:rPr>
        <w:t xml:space="preserve"> survivors is a key pillar of the Department </w:t>
      </w:r>
      <w:r>
        <w:rPr>
          <w:rFonts w:ascii="Arial" w:hAnsi="Arial" w:cs="Arial"/>
        </w:rPr>
        <w:t xml:space="preserve">of Justice and Constitutional Development, as well as </w:t>
      </w:r>
      <w:r w:rsidR="00913512">
        <w:rPr>
          <w:rFonts w:ascii="Arial" w:hAnsi="Arial" w:cs="Arial"/>
        </w:rPr>
        <w:t>the National Prosecuting Authority</w:t>
      </w:r>
      <w:r>
        <w:rPr>
          <w:rFonts w:ascii="Arial" w:hAnsi="Arial" w:cs="Arial"/>
        </w:rPr>
        <w:t xml:space="preserve"> (NPA)</w:t>
      </w:r>
      <w:r w:rsidR="00913512">
        <w:rPr>
          <w:rFonts w:ascii="Arial" w:hAnsi="Arial" w:cs="Arial"/>
        </w:rPr>
        <w:t xml:space="preserve">’s interventions to combat GBV. </w:t>
      </w:r>
      <w:r w:rsidR="004B356A">
        <w:rPr>
          <w:rFonts w:ascii="Arial" w:hAnsi="Arial" w:cs="Arial"/>
        </w:rPr>
        <w:t>To</w:t>
      </w:r>
      <w:r w:rsidR="00217A4A" w:rsidRPr="00913512">
        <w:rPr>
          <w:rFonts w:ascii="Arial" w:hAnsi="Arial" w:cs="Arial"/>
        </w:rPr>
        <w:t xml:space="preserve"> </w:t>
      </w:r>
      <w:r w:rsidR="007B5D69">
        <w:rPr>
          <w:rFonts w:ascii="Arial" w:hAnsi="Arial" w:cs="Arial"/>
        </w:rPr>
        <w:t>reduce</w:t>
      </w:r>
      <w:r w:rsidR="004B356A">
        <w:rPr>
          <w:rFonts w:ascii="Arial" w:hAnsi="Arial" w:cs="Arial"/>
        </w:rPr>
        <w:t xml:space="preserve"> secondary victimization in </w:t>
      </w:r>
      <w:r w:rsidR="007B5D69">
        <w:rPr>
          <w:rFonts w:ascii="Arial" w:hAnsi="Arial" w:cs="Arial"/>
        </w:rPr>
        <w:t xml:space="preserve">court processes, the </w:t>
      </w:r>
      <w:r w:rsidR="00217A4A" w:rsidRPr="00913512">
        <w:rPr>
          <w:rFonts w:ascii="Arial" w:hAnsi="Arial" w:cs="Arial"/>
        </w:rPr>
        <w:t>N</w:t>
      </w:r>
      <w:r w:rsidR="00913512">
        <w:rPr>
          <w:rFonts w:ascii="Arial" w:hAnsi="Arial" w:cs="Arial"/>
        </w:rPr>
        <w:t>PA</w:t>
      </w:r>
      <w:r w:rsidR="00217A4A" w:rsidRPr="00913512">
        <w:rPr>
          <w:rFonts w:ascii="Arial" w:hAnsi="Arial" w:cs="Arial"/>
        </w:rPr>
        <w:t xml:space="preserve"> has specifically included a module on social context sensitivity awareness in their t</w:t>
      </w:r>
      <w:r w:rsidR="004B356A">
        <w:rPr>
          <w:rFonts w:ascii="Arial" w:hAnsi="Arial" w:cs="Arial"/>
        </w:rPr>
        <w:t>raining curricula dealing with GBV</w:t>
      </w:r>
      <w:r w:rsidR="00F96FF8" w:rsidRPr="00913512">
        <w:rPr>
          <w:rFonts w:ascii="Arial" w:hAnsi="Arial" w:cs="Arial"/>
        </w:rPr>
        <w:t xml:space="preserve"> and </w:t>
      </w:r>
      <w:r w:rsidR="00217A4A" w:rsidRPr="00913512">
        <w:rPr>
          <w:rFonts w:ascii="Arial" w:hAnsi="Arial" w:cs="Arial"/>
        </w:rPr>
        <w:t>F</w:t>
      </w:r>
      <w:r w:rsidR="004B356A">
        <w:rPr>
          <w:rFonts w:ascii="Arial" w:hAnsi="Arial" w:cs="Arial"/>
        </w:rPr>
        <w:t xml:space="preserve">emicide </w:t>
      </w:r>
      <w:r w:rsidR="00217A4A" w:rsidRPr="00913512">
        <w:rPr>
          <w:rFonts w:ascii="Arial" w:hAnsi="Arial" w:cs="Arial"/>
        </w:rPr>
        <w:t>r</w:t>
      </w:r>
      <w:r w:rsidR="007B5D69">
        <w:rPr>
          <w:rFonts w:ascii="Arial" w:hAnsi="Arial" w:cs="Arial"/>
        </w:rPr>
        <w:t>elated matters.</w:t>
      </w:r>
    </w:p>
    <w:p w:rsidR="00913512" w:rsidRDefault="00913512" w:rsidP="006A60FF">
      <w:pPr>
        <w:spacing w:line="360" w:lineRule="auto"/>
        <w:ind w:left="567" w:hanging="567"/>
        <w:jc w:val="both"/>
        <w:rPr>
          <w:rFonts w:ascii="Arial" w:hAnsi="Arial" w:cs="Arial"/>
        </w:rPr>
      </w:pPr>
    </w:p>
    <w:p w:rsidR="004B356A" w:rsidRDefault="00217A4A" w:rsidP="00DE4BD2">
      <w:pPr>
        <w:spacing w:line="360" w:lineRule="auto"/>
        <w:ind w:left="720"/>
        <w:jc w:val="both"/>
        <w:rPr>
          <w:rFonts w:ascii="Arial" w:hAnsi="Arial" w:cs="Arial"/>
        </w:rPr>
      </w:pPr>
      <w:r w:rsidRPr="00913512">
        <w:rPr>
          <w:rFonts w:ascii="Arial" w:hAnsi="Arial" w:cs="Arial"/>
        </w:rPr>
        <w:t xml:space="preserve">Victims of </w:t>
      </w:r>
      <w:r w:rsidR="007B5D69">
        <w:rPr>
          <w:rFonts w:ascii="Arial" w:hAnsi="Arial" w:cs="Arial"/>
        </w:rPr>
        <w:t>GBV</w:t>
      </w:r>
      <w:r w:rsidR="00913512">
        <w:rPr>
          <w:rFonts w:ascii="Arial" w:hAnsi="Arial" w:cs="Arial"/>
        </w:rPr>
        <w:t xml:space="preserve"> </w:t>
      </w:r>
      <w:r w:rsidRPr="00913512">
        <w:rPr>
          <w:rFonts w:ascii="Arial" w:hAnsi="Arial" w:cs="Arial"/>
        </w:rPr>
        <w:t xml:space="preserve">must </w:t>
      </w:r>
      <w:r w:rsidR="00913512">
        <w:rPr>
          <w:rFonts w:ascii="Arial" w:hAnsi="Arial" w:cs="Arial"/>
        </w:rPr>
        <w:t xml:space="preserve">always </w:t>
      </w:r>
      <w:r w:rsidRPr="00913512">
        <w:rPr>
          <w:rFonts w:ascii="Arial" w:hAnsi="Arial" w:cs="Arial"/>
        </w:rPr>
        <w:t xml:space="preserve">be encouraged to </w:t>
      </w:r>
      <w:r w:rsidR="00515E5F" w:rsidRPr="00913512">
        <w:rPr>
          <w:rFonts w:ascii="Arial" w:hAnsi="Arial" w:cs="Arial"/>
        </w:rPr>
        <w:t xml:space="preserve">speak out and </w:t>
      </w:r>
      <w:r w:rsidRPr="00913512">
        <w:rPr>
          <w:rFonts w:ascii="Arial" w:hAnsi="Arial" w:cs="Arial"/>
        </w:rPr>
        <w:t>report thes</w:t>
      </w:r>
      <w:r w:rsidR="00913512">
        <w:rPr>
          <w:rFonts w:ascii="Arial" w:hAnsi="Arial" w:cs="Arial"/>
        </w:rPr>
        <w:t xml:space="preserve">e offences, as this is the only way in which </w:t>
      </w:r>
      <w:r w:rsidR="00F96FF8" w:rsidRPr="00913512">
        <w:rPr>
          <w:rFonts w:ascii="Arial" w:hAnsi="Arial" w:cs="Arial"/>
        </w:rPr>
        <w:t>Criminal Justice System (</w:t>
      </w:r>
      <w:r w:rsidRPr="00913512">
        <w:rPr>
          <w:rFonts w:ascii="Arial" w:hAnsi="Arial" w:cs="Arial"/>
        </w:rPr>
        <w:t>CJS</w:t>
      </w:r>
      <w:r w:rsidR="00F96FF8" w:rsidRPr="00913512">
        <w:rPr>
          <w:rFonts w:ascii="Arial" w:hAnsi="Arial" w:cs="Arial"/>
        </w:rPr>
        <w:t>)</w:t>
      </w:r>
      <w:r w:rsidR="00913512">
        <w:rPr>
          <w:rFonts w:ascii="Arial" w:hAnsi="Arial" w:cs="Arial"/>
        </w:rPr>
        <w:t xml:space="preserve"> can deal with the matter and ensure that justice is done.</w:t>
      </w:r>
      <w:r w:rsidR="007B5D69">
        <w:rPr>
          <w:rFonts w:ascii="Arial" w:hAnsi="Arial" w:cs="Arial"/>
        </w:rPr>
        <w:t xml:space="preserve"> It requires laying a charge</w:t>
      </w:r>
      <w:r w:rsidRPr="00913512">
        <w:rPr>
          <w:rFonts w:ascii="Arial" w:hAnsi="Arial" w:cs="Arial"/>
        </w:rPr>
        <w:t xml:space="preserve"> with </w:t>
      </w:r>
      <w:r w:rsidR="00BB2AC6" w:rsidRPr="00913512">
        <w:rPr>
          <w:rFonts w:ascii="Arial" w:hAnsi="Arial" w:cs="Arial"/>
        </w:rPr>
        <w:t>the South African Police Service (</w:t>
      </w:r>
      <w:r w:rsidRPr="00913512">
        <w:rPr>
          <w:rFonts w:ascii="Arial" w:hAnsi="Arial" w:cs="Arial"/>
        </w:rPr>
        <w:t>SAPS</w:t>
      </w:r>
      <w:r w:rsidR="00BB2AC6" w:rsidRPr="00913512">
        <w:rPr>
          <w:rFonts w:ascii="Arial" w:hAnsi="Arial" w:cs="Arial"/>
        </w:rPr>
        <w:t>)</w:t>
      </w:r>
      <w:r w:rsidRPr="00913512">
        <w:rPr>
          <w:rFonts w:ascii="Arial" w:hAnsi="Arial" w:cs="Arial"/>
        </w:rPr>
        <w:t>, followed by prosecutor-guided investigatio</w:t>
      </w:r>
      <w:r w:rsidR="007B5D69">
        <w:rPr>
          <w:rFonts w:ascii="Arial" w:hAnsi="Arial" w:cs="Arial"/>
        </w:rPr>
        <w:t xml:space="preserve">ns and related court processes. Victims of domestic violence and harassment can also apply for protection orders at their nearest court. </w:t>
      </w:r>
    </w:p>
    <w:p w:rsidR="004B356A" w:rsidRDefault="004B356A" w:rsidP="006A60FF">
      <w:pPr>
        <w:spacing w:line="360" w:lineRule="auto"/>
        <w:ind w:left="567"/>
        <w:jc w:val="both"/>
        <w:rPr>
          <w:rFonts w:ascii="Arial" w:hAnsi="Arial" w:cs="Arial"/>
        </w:rPr>
      </w:pPr>
    </w:p>
    <w:p w:rsidR="00217A4A" w:rsidRPr="00913512" w:rsidRDefault="007B5D69" w:rsidP="00DE4BD2">
      <w:pPr>
        <w:spacing w:line="360" w:lineRule="auto"/>
        <w:ind w:left="720"/>
        <w:jc w:val="both"/>
        <w:rPr>
          <w:rFonts w:ascii="Arial" w:hAnsi="Arial" w:cs="Arial"/>
        </w:rPr>
      </w:pPr>
      <w:r>
        <w:rPr>
          <w:rFonts w:ascii="Arial" w:hAnsi="Arial" w:cs="Arial"/>
        </w:rPr>
        <w:t>No two</w:t>
      </w:r>
      <w:r w:rsidR="00DE4BD2">
        <w:rPr>
          <w:rFonts w:ascii="Arial" w:hAnsi="Arial" w:cs="Arial"/>
        </w:rPr>
        <w:t xml:space="preserve"> (2)</w:t>
      </w:r>
      <w:r>
        <w:rPr>
          <w:rFonts w:ascii="Arial" w:hAnsi="Arial" w:cs="Arial"/>
        </w:rPr>
        <w:t xml:space="preserve"> GBV cases are ever exactly the same and therefore each case is</w:t>
      </w:r>
      <w:r w:rsidRPr="007B5D69">
        <w:rPr>
          <w:rFonts w:ascii="Arial" w:hAnsi="Arial" w:cs="Arial"/>
        </w:rPr>
        <w:t xml:space="preserve"> handled on its merits, circumstances and complexities.</w:t>
      </w:r>
    </w:p>
    <w:p w:rsidR="00F96FF8" w:rsidRDefault="00F96FF8" w:rsidP="006A60FF">
      <w:pPr>
        <w:spacing w:line="360" w:lineRule="auto"/>
        <w:ind w:left="720"/>
        <w:jc w:val="both"/>
        <w:rPr>
          <w:rFonts w:ascii="Arial" w:hAnsi="Arial" w:cs="Arial"/>
        </w:rPr>
      </w:pPr>
    </w:p>
    <w:p w:rsidR="004B356A" w:rsidRDefault="007B5D69" w:rsidP="00DE4BD2">
      <w:pPr>
        <w:spacing w:line="360" w:lineRule="auto"/>
        <w:ind w:left="720"/>
        <w:jc w:val="both"/>
        <w:rPr>
          <w:rFonts w:ascii="Arial" w:hAnsi="Arial" w:cs="Arial"/>
        </w:rPr>
      </w:pPr>
      <w:r>
        <w:rPr>
          <w:rFonts w:ascii="Arial" w:hAnsi="Arial" w:cs="Arial"/>
        </w:rPr>
        <w:t xml:space="preserve">Another key pillar of our interventions is the provision </w:t>
      </w:r>
      <w:r w:rsidR="00DE4BD2">
        <w:rPr>
          <w:rFonts w:ascii="Arial" w:hAnsi="Arial" w:cs="Arial"/>
        </w:rPr>
        <w:t xml:space="preserve">of support services to victims. </w:t>
      </w:r>
      <w:r w:rsidR="0064409B">
        <w:rPr>
          <w:rFonts w:ascii="Arial" w:hAnsi="Arial" w:cs="Arial"/>
        </w:rPr>
        <w:t xml:space="preserve">Dedicated Sexual Offences Courts </w:t>
      </w:r>
      <w:r w:rsidR="004B356A">
        <w:rPr>
          <w:rFonts w:ascii="Arial" w:hAnsi="Arial" w:cs="Arial"/>
        </w:rPr>
        <w:t>make use of a number of interventions to reduce secondary trauma for victims, such as preparation services, p</w:t>
      </w:r>
      <w:r w:rsidR="00DE4BD2">
        <w:rPr>
          <w:rFonts w:ascii="Arial" w:hAnsi="Arial" w:cs="Arial"/>
        </w:rPr>
        <w:t>re-and post-</w:t>
      </w:r>
      <w:r w:rsidR="004B356A" w:rsidRPr="004B356A">
        <w:rPr>
          <w:rFonts w:ascii="Arial" w:hAnsi="Arial" w:cs="Arial"/>
        </w:rPr>
        <w:t>trial t</w:t>
      </w:r>
      <w:r w:rsidR="004B356A">
        <w:rPr>
          <w:rFonts w:ascii="Arial" w:hAnsi="Arial" w:cs="Arial"/>
        </w:rPr>
        <w:t>rauma debriefing services, i</w:t>
      </w:r>
      <w:r w:rsidR="004B356A" w:rsidRPr="004B356A">
        <w:rPr>
          <w:rFonts w:ascii="Arial" w:hAnsi="Arial" w:cs="Arial"/>
        </w:rPr>
        <w:t>ntermed</w:t>
      </w:r>
      <w:r w:rsidR="004B356A">
        <w:rPr>
          <w:rFonts w:ascii="Arial" w:hAnsi="Arial" w:cs="Arial"/>
        </w:rPr>
        <w:t>iary services, p</w:t>
      </w:r>
      <w:r w:rsidR="004B356A" w:rsidRPr="004B356A">
        <w:rPr>
          <w:rFonts w:ascii="Arial" w:hAnsi="Arial" w:cs="Arial"/>
        </w:rPr>
        <w:t>rivate testifyin</w:t>
      </w:r>
      <w:r w:rsidR="004B356A">
        <w:rPr>
          <w:rFonts w:ascii="Arial" w:hAnsi="Arial" w:cs="Arial"/>
        </w:rPr>
        <w:t xml:space="preserve">g room/closed court services (via a </w:t>
      </w:r>
      <w:r w:rsidR="004B356A" w:rsidRPr="004B356A">
        <w:rPr>
          <w:rFonts w:ascii="Arial" w:hAnsi="Arial" w:cs="Arial"/>
        </w:rPr>
        <w:t>closed-circuit TV system</w:t>
      </w:r>
      <w:r w:rsidR="004B356A">
        <w:rPr>
          <w:rFonts w:ascii="Arial" w:hAnsi="Arial" w:cs="Arial"/>
        </w:rPr>
        <w:t>) and p</w:t>
      </w:r>
      <w:r w:rsidR="004B356A" w:rsidRPr="004B356A">
        <w:rPr>
          <w:rFonts w:ascii="Arial" w:hAnsi="Arial" w:cs="Arial"/>
        </w:rPr>
        <w:t>rivate waiting rooms for adult and child victims</w:t>
      </w:r>
      <w:r w:rsidR="004B356A">
        <w:rPr>
          <w:rFonts w:ascii="Arial" w:hAnsi="Arial" w:cs="Arial"/>
        </w:rPr>
        <w:t>.</w:t>
      </w:r>
    </w:p>
    <w:p w:rsidR="004B356A" w:rsidRDefault="004B356A" w:rsidP="006A60FF">
      <w:pPr>
        <w:spacing w:line="360" w:lineRule="auto"/>
        <w:ind w:left="567"/>
        <w:jc w:val="both"/>
        <w:rPr>
          <w:rFonts w:ascii="Arial" w:hAnsi="Arial" w:cs="Arial"/>
        </w:rPr>
      </w:pPr>
    </w:p>
    <w:p w:rsidR="007237B0" w:rsidRDefault="007B5D69" w:rsidP="00DE4BD2">
      <w:pPr>
        <w:spacing w:line="360" w:lineRule="auto"/>
        <w:ind w:left="720"/>
        <w:jc w:val="both"/>
        <w:rPr>
          <w:rFonts w:ascii="Arial" w:hAnsi="Arial" w:cs="Arial"/>
        </w:rPr>
      </w:pPr>
      <w:r>
        <w:rPr>
          <w:rFonts w:ascii="Arial" w:hAnsi="Arial" w:cs="Arial"/>
        </w:rPr>
        <w:t xml:space="preserve">For victims of sexual offences, the </w:t>
      </w:r>
      <w:r w:rsidR="00217A4A" w:rsidRPr="00217A4A">
        <w:rPr>
          <w:rFonts w:ascii="Arial" w:hAnsi="Arial" w:cs="Arial"/>
        </w:rPr>
        <w:t>Thuthuzela Care Centres</w:t>
      </w:r>
      <w:r w:rsidR="00BB2AC6">
        <w:rPr>
          <w:rFonts w:ascii="Arial" w:hAnsi="Arial" w:cs="Arial"/>
        </w:rPr>
        <w:t xml:space="preserve"> (TCCs)</w:t>
      </w:r>
      <w:r w:rsidR="00217A4A" w:rsidRPr="00217A4A">
        <w:rPr>
          <w:rFonts w:ascii="Arial" w:hAnsi="Arial" w:cs="Arial"/>
        </w:rPr>
        <w:t xml:space="preserve"> have specifically been established as a mechanism to </w:t>
      </w:r>
      <w:r w:rsidR="002B0600" w:rsidRPr="00217A4A">
        <w:rPr>
          <w:rFonts w:ascii="Arial" w:hAnsi="Arial" w:cs="Arial"/>
        </w:rPr>
        <w:t>minimi</w:t>
      </w:r>
      <w:r w:rsidR="002B0600">
        <w:rPr>
          <w:rFonts w:ascii="Arial" w:hAnsi="Arial" w:cs="Arial"/>
        </w:rPr>
        <w:t>ze</w:t>
      </w:r>
      <w:r w:rsidR="00217A4A" w:rsidRPr="00217A4A">
        <w:rPr>
          <w:rFonts w:ascii="Arial" w:hAnsi="Arial" w:cs="Arial"/>
        </w:rPr>
        <w:t xml:space="preserve"> secondary victimization, as the objective of the TCC model is to provide all related services (medical, psycho-s</w:t>
      </w:r>
      <w:r w:rsidR="00BB2AC6">
        <w:rPr>
          <w:rFonts w:ascii="Arial" w:hAnsi="Arial" w:cs="Arial"/>
        </w:rPr>
        <w:t>ocial, statement taking, follow-</w:t>
      </w:r>
      <w:r w:rsidR="00217A4A" w:rsidRPr="00217A4A">
        <w:rPr>
          <w:rFonts w:ascii="Arial" w:hAnsi="Arial" w:cs="Arial"/>
        </w:rPr>
        <w:t>up services) at a</w:t>
      </w:r>
      <w:r w:rsidR="00BB2AC6">
        <w:rPr>
          <w:rFonts w:ascii="Arial" w:hAnsi="Arial" w:cs="Arial"/>
        </w:rPr>
        <w:t xml:space="preserve"> 24-hour One S</w:t>
      </w:r>
      <w:r>
        <w:rPr>
          <w:rFonts w:ascii="Arial" w:hAnsi="Arial" w:cs="Arial"/>
        </w:rPr>
        <w:t xml:space="preserve">top Centre. </w:t>
      </w:r>
      <w:r w:rsidR="002B0600">
        <w:rPr>
          <w:rFonts w:ascii="Arial" w:hAnsi="Arial" w:cs="Arial"/>
        </w:rPr>
        <w:t>There are currently 55 TCC</w:t>
      </w:r>
      <w:r w:rsidR="00A81406">
        <w:rPr>
          <w:rFonts w:ascii="Arial" w:hAnsi="Arial" w:cs="Arial"/>
        </w:rPr>
        <w:t xml:space="preserve">-sites nationally, </w:t>
      </w:r>
      <w:r w:rsidR="002B0600">
        <w:rPr>
          <w:rFonts w:ascii="Arial" w:hAnsi="Arial" w:cs="Arial"/>
        </w:rPr>
        <w:t xml:space="preserve">with </w:t>
      </w:r>
      <w:r w:rsidR="00BB2AC6">
        <w:rPr>
          <w:rFonts w:ascii="Arial" w:hAnsi="Arial" w:cs="Arial"/>
        </w:rPr>
        <w:t>six (</w:t>
      </w:r>
      <w:r w:rsidR="002B0600">
        <w:rPr>
          <w:rFonts w:ascii="Arial" w:hAnsi="Arial" w:cs="Arial"/>
        </w:rPr>
        <w:t>6</w:t>
      </w:r>
      <w:r w:rsidR="00BB2AC6">
        <w:rPr>
          <w:rFonts w:ascii="Arial" w:hAnsi="Arial" w:cs="Arial"/>
        </w:rPr>
        <w:t>)</w:t>
      </w:r>
      <w:r w:rsidR="002B0600">
        <w:rPr>
          <w:rFonts w:ascii="Arial" w:hAnsi="Arial" w:cs="Arial"/>
        </w:rPr>
        <w:t xml:space="preserve"> additional </w:t>
      </w:r>
      <w:r w:rsidR="00A81406">
        <w:rPr>
          <w:rFonts w:ascii="Arial" w:hAnsi="Arial" w:cs="Arial"/>
        </w:rPr>
        <w:t xml:space="preserve">sites in the process of being added to the list. </w:t>
      </w:r>
    </w:p>
    <w:p w:rsidR="007237B0" w:rsidRDefault="007237B0" w:rsidP="006A60FF">
      <w:pPr>
        <w:spacing w:line="360" w:lineRule="auto"/>
        <w:jc w:val="both"/>
        <w:rPr>
          <w:rFonts w:ascii="Arial" w:hAnsi="Arial" w:cs="Arial"/>
        </w:rPr>
      </w:pPr>
    </w:p>
    <w:p w:rsidR="00DE4BD2" w:rsidRDefault="007237B0" w:rsidP="00DE4BD2">
      <w:pPr>
        <w:spacing w:line="360" w:lineRule="auto"/>
        <w:ind w:left="360"/>
        <w:jc w:val="both"/>
        <w:rPr>
          <w:rFonts w:ascii="Arial" w:hAnsi="Arial" w:cs="Arial"/>
        </w:rPr>
      </w:pPr>
      <w:r>
        <w:rPr>
          <w:rFonts w:ascii="Arial" w:hAnsi="Arial" w:cs="Arial"/>
        </w:rPr>
        <w:t>(ii)</w:t>
      </w:r>
      <w:r>
        <w:rPr>
          <w:rFonts w:ascii="Arial" w:hAnsi="Arial" w:cs="Arial"/>
        </w:rPr>
        <w:tab/>
      </w:r>
      <w:r w:rsidR="00C50150">
        <w:rPr>
          <w:rFonts w:ascii="Arial" w:hAnsi="Arial" w:cs="Arial"/>
        </w:rPr>
        <w:t xml:space="preserve">Each GBV </w:t>
      </w:r>
      <w:r w:rsidR="007B5D69">
        <w:rPr>
          <w:rFonts w:ascii="Arial" w:hAnsi="Arial" w:cs="Arial"/>
        </w:rPr>
        <w:t>matter</w:t>
      </w:r>
      <w:r w:rsidR="00C50150">
        <w:rPr>
          <w:rFonts w:ascii="Arial" w:hAnsi="Arial" w:cs="Arial"/>
        </w:rPr>
        <w:t xml:space="preserve"> and sexual offences matter</w:t>
      </w:r>
      <w:r w:rsidR="007B5D69">
        <w:rPr>
          <w:rFonts w:ascii="Arial" w:hAnsi="Arial" w:cs="Arial"/>
        </w:rPr>
        <w:t xml:space="preserve"> is dealt with on its own merits</w:t>
      </w:r>
      <w:r w:rsidR="00C50150">
        <w:rPr>
          <w:rFonts w:ascii="Arial" w:hAnsi="Arial" w:cs="Arial"/>
        </w:rPr>
        <w:t xml:space="preserve">. </w:t>
      </w:r>
    </w:p>
    <w:p w:rsidR="00A30C38" w:rsidRDefault="00C50150" w:rsidP="00DE4BD2">
      <w:pPr>
        <w:spacing w:line="360" w:lineRule="auto"/>
        <w:ind w:left="720"/>
        <w:jc w:val="both"/>
        <w:rPr>
          <w:rFonts w:ascii="Arial" w:hAnsi="Arial" w:cs="Arial"/>
        </w:rPr>
      </w:pPr>
      <w:r>
        <w:rPr>
          <w:rFonts w:ascii="Arial" w:hAnsi="Arial" w:cs="Arial"/>
        </w:rPr>
        <w:t>They do generally take longer as they are often more complex in nature. As soon as the</w:t>
      </w:r>
      <w:r w:rsidR="00217A4A" w:rsidRPr="00F96FF8">
        <w:rPr>
          <w:rFonts w:ascii="Arial" w:hAnsi="Arial" w:cs="Arial"/>
        </w:rPr>
        <w:t xml:space="preserve"> </w:t>
      </w:r>
      <w:r w:rsidR="00515E5F" w:rsidRPr="00F96FF8">
        <w:rPr>
          <w:rFonts w:ascii="Arial" w:hAnsi="Arial" w:cs="Arial"/>
        </w:rPr>
        <w:t xml:space="preserve">SAPS </w:t>
      </w:r>
      <w:r w:rsidR="00A81406" w:rsidRPr="00F96FF8">
        <w:rPr>
          <w:rFonts w:ascii="Arial" w:hAnsi="Arial" w:cs="Arial"/>
        </w:rPr>
        <w:t>present</w:t>
      </w:r>
      <w:r w:rsidR="00515E5F" w:rsidRPr="00F96FF8">
        <w:rPr>
          <w:rFonts w:ascii="Arial" w:hAnsi="Arial" w:cs="Arial"/>
        </w:rPr>
        <w:t xml:space="preserve"> </w:t>
      </w:r>
      <w:r w:rsidR="00217A4A" w:rsidRPr="00F96FF8">
        <w:rPr>
          <w:rFonts w:ascii="Arial" w:hAnsi="Arial" w:cs="Arial"/>
        </w:rPr>
        <w:t xml:space="preserve">a docket </w:t>
      </w:r>
      <w:r w:rsidR="00515E5F" w:rsidRPr="00F96FF8">
        <w:rPr>
          <w:rFonts w:ascii="Arial" w:hAnsi="Arial" w:cs="Arial"/>
        </w:rPr>
        <w:t>to the NPA</w:t>
      </w:r>
      <w:r w:rsidR="00217A4A" w:rsidRPr="00F96FF8">
        <w:rPr>
          <w:rFonts w:ascii="Arial" w:hAnsi="Arial" w:cs="Arial"/>
        </w:rPr>
        <w:t>, the prosecution arm is set in motion. Should the evidence contained in a docket prove a </w:t>
      </w:r>
      <w:r w:rsidR="00217A4A" w:rsidRPr="00F96FF8">
        <w:rPr>
          <w:rFonts w:ascii="Arial" w:hAnsi="Arial" w:cs="Arial"/>
          <w:i/>
          <w:iCs/>
        </w:rPr>
        <w:t>prima facie</w:t>
      </w:r>
      <w:r w:rsidR="00217A4A" w:rsidRPr="00F96FF8">
        <w:rPr>
          <w:rFonts w:ascii="Arial" w:hAnsi="Arial" w:cs="Arial"/>
        </w:rPr>
        <w:t xml:space="preserve"> case against the alleged accused, such person will be prosecuted, either by putting a charge to the accused or by diverting the matter away from the court process, depending on the merits and the severity of the charge.</w:t>
      </w:r>
      <w:r>
        <w:rPr>
          <w:rFonts w:ascii="Arial" w:hAnsi="Arial" w:cs="Arial"/>
        </w:rPr>
        <w:t xml:space="preserve"> </w:t>
      </w:r>
      <w:r w:rsidR="00217A4A" w:rsidRPr="00F96FF8">
        <w:rPr>
          <w:rFonts w:ascii="Arial" w:hAnsi="Arial" w:cs="Arial"/>
        </w:rPr>
        <w:t xml:space="preserve">In addition, </w:t>
      </w:r>
      <w:r w:rsidR="00BB2AC6">
        <w:rPr>
          <w:rFonts w:ascii="Arial" w:hAnsi="Arial" w:cs="Arial"/>
        </w:rPr>
        <w:t>it is worth noting that</w:t>
      </w:r>
      <w:r w:rsidR="004B356A">
        <w:rPr>
          <w:rFonts w:ascii="Arial" w:hAnsi="Arial" w:cs="Arial"/>
        </w:rPr>
        <w:t xml:space="preserve"> p</w:t>
      </w:r>
      <w:r w:rsidR="00217A4A" w:rsidRPr="00F96FF8">
        <w:rPr>
          <w:rFonts w:ascii="Arial" w:hAnsi="Arial" w:cs="Arial"/>
        </w:rPr>
        <w:t>rosecutors</w:t>
      </w:r>
      <w:r w:rsidR="00217A4A" w:rsidRPr="00217A4A">
        <w:rPr>
          <w:rFonts w:ascii="Arial" w:hAnsi="Arial" w:cs="Arial"/>
        </w:rPr>
        <w:t>, specifically in dealing with serious/contentious offences (as is the case with all GBVF matters), are required to have detailed consultations with witnesses to follow the court preparation program befor</w:t>
      </w:r>
      <w:r w:rsidR="00BB2AC6">
        <w:rPr>
          <w:rFonts w:ascii="Arial" w:hAnsi="Arial" w:cs="Arial"/>
        </w:rPr>
        <w:t xml:space="preserve">e they are to testify in court. </w:t>
      </w:r>
      <w:r w:rsidR="00A30C38">
        <w:rPr>
          <w:rFonts w:ascii="Arial" w:hAnsi="Arial" w:cs="Arial"/>
        </w:rPr>
        <w:t>These steps are vital for a successful prosecution, but they do, unfortunately, take time.</w:t>
      </w:r>
    </w:p>
    <w:p w:rsidR="00A30C38" w:rsidRDefault="00A30C38" w:rsidP="006A60FF">
      <w:pPr>
        <w:spacing w:line="360" w:lineRule="auto"/>
        <w:ind w:left="567" w:hanging="567"/>
        <w:jc w:val="both"/>
        <w:rPr>
          <w:rFonts w:ascii="Arial" w:hAnsi="Arial" w:cs="Arial"/>
        </w:rPr>
      </w:pPr>
    </w:p>
    <w:p w:rsidR="00DE4BD2" w:rsidRDefault="00A30C38" w:rsidP="00DE4BD2">
      <w:pPr>
        <w:numPr>
          <w:ilvl w:val="0"/>
          <w:numId w:val="6"/>
        </w:numPr>
        <w:spacing w:line="360" w:lineRule="auto"/>
        <w:jc w:val="both"/>
        <w:rPr>
          <w:rFonts w:ascii="Arial" w:hAnsi="Arial" w:cs="Arial"/>
        </w:rPr>
      </w:pPr>
      <w:r>
        <w:rPr>
          <w:rFonts w:ascii="Arial" w:hAnsi="Arial" w:cs="Arial"/>
        </w:rPr>
        <w:t>(i)</w:t>
      </w:r>
      <w:r>
        <w:rPr>
          <w:rFonts w:ascii="Arial" w:hAnsi="Arial" w:cs="Arial"/>
        </w:rPr>
        <w:tab/>
        <w:t xml:space="preserve">The provision of support services and court preparation ensure </w:t>
      </w:r>
      <w:r w:rsidR="00217A4A" w:rsidRPr="00217A4A">
        <w:rPr>
          <w:rFonts w:ascii="Arial" w:hAnsi="Arial" w:cs="Arial"/>
        </w:rPr>
        <w:t xml:space="preserve">well prepared </w:t>
      </w:r>
    </w:p>
    <w:p w:rsidR="00A30C38" w:rsidRDefault="00A30C38" w:rsidP="00DE4BD2">
      <w:pPr>
        <w:spacing w:line="360" w:lineRule="auto"/>
        <w:ind w:left="720"/>
        <w:jc w:val="both"/>
        <w:rPr>
          <w:rFonts w:ascii="Arial" w:hAnsi="Arial" w:cs="Arial"/>
        </w:rPr>
      </w:pPr>
      <w:r>
        <w:rPr>
          <w:rFonts w:ascii="Arial" w:hAnsi="Arial" w:cs="Arial"/>
        </w:rPr>
        <w:t xml:space="preserve">witnesses for court, which </w:t>
      </w:r>
      <w:r w:rsidR="00217A4A" w:rsidRPr="00217A4A">
        <w:rPr>
          <w:rFonts w:ascii="Arial" w:hAnsi="Arial" w:cs="Arial"/>
        </w:rPr>
        <w:t>also minimize</w:t>
      </w:r>
      <w:r>
        <w:rPr>
          <w:rFonts w:ascii="Arial" w:hAnsi="Arial" w:cs="Arial"/>
        </w:rPr>
        <w:t>s</w:t>
      </w:r>
      <w:r w:rsidR="00217A4A" w:rsidRPr="00217A4A">
        <w:rPr>
          <w:rFonts w:ascii="Arial" w:hAnsi="Arial" w:cs="Arial"/>
        </w:rPr>
        <w:t xml:space="preserve"> the impact of secondary victimization. Effective preparation is more crucial when dealing with child </w:t>
      </w:r>
      <w:r w:rsidR="004B356A">
        <w:rPr>
          <w:rFonts w:ascii="Arial" w:hAnsi="Arial" w:cs="Arial"/>
        </w:rPr>
        <w:t>witnesses and severely traumatiz</w:t>
      </w:r>
      <w:r w:rsidR="00217A4A" w:rsidRPr="00217A4A">
        <w:rPr>
          <w:rFonts w:ascii="Arial" w:hAnsi="Arial" w:cs="Arial"/>
        </w:rPr>
        <w:t>ed witnesses. The NPA has therefore appointed Court Preparation Officers who</w:t>
      </w:r>
      <w:r w:rsidR="004B356A">
        <w:rPr>
          <w:rFonts w:ascii="Arial" w:hAnsi="Arial" w:cs="Arial"/>
        </w:rPr>
        <w:t>,</w:t>
      </w:r>
      <w:r w:rsidR="00217A4A" w:rsidRPr="00217A4A">
        <w:rPr>
          <w:rFonts w:ascii="Arial" w:hAnsi="Arial" w:cs="Arial"/>
        </w:rPr>
        <w:t xml:space="preserve"> </w:t>
      </w:r>
      <w:r w:rsidR="00217A4A" w:rsidRPr="00BB2AC6">
        <w:rPr>
          <w:rFonts w:ascii="Arial" w:hAnsi="Arial" w:cs="Arial"/>
          <w:iCs/>
        </w:rPr>
        <w:t>inter alia</w:t>
      </w:r>
      <w:r w:rsidR="004B356A">
        <w:rPr>
          <w:rFonts w:ascii="Arial" w:hAnsi="Arial" w:cs="Arial"/>
          <w:iCs/>
        </w:rPr>
        <w:t>,</w:t>
      </w:r>
      <w:r w:rsidR="00217A4A" w:rsidRPr="00217A4A">
        <w:rPr>
          <w:rFonts w:ascii="Arial" w:hAnsi="Arial" w:cs="Arial"/>
        </w:rPr>
        <w:t xml:space="preserve"> inform witnesses of the court environment, legal processes and terms.</w:t>
      </w:r>
      <w:r w:rsidR="00217A4A" w:rsidRPr="008920B3">
        <w:rPr>
          <w:rFonts w:ascii="Arial" w:hAnsi="Arial" w:cs="Arial"/>
          <w:color w:val="EBEAEA"/>
        </w:rPr>
        <w:t xml:space="preserve"> </w:t>
      </w:r>
      <w:r w:rsidR="00217A4A" w:rsidRPr="00217A4A">
        <w:rPr>
          <w:rFonts w:ascii="Arial" w:hAnsi="Arial" w:cs="Arial"/>
        </w:rPr>
        <w:t>Their fears and concerns are addressed</w:t>
      </w:r>
      <w:r w:rsidR="00BB2AC6">
        <w:rPr>
          <w:rFonts w:ascii="Arial" w:hAnsi="Arial" w:cs="Arial"/>
        </w:rPr>
        <w:t>,</w:t>
      </w:r>
      <w:r w:rsidR="00217A4A" w:rsidRPr="00217A4A">
        <w:rPr>
          <w:rFonts w:ascii="Arial" w:hAnsi="Arial" w:cs="Arial"/>
        </w:rPr>
        <w:t xml:space="preserve"> and court preparation aims to </w:t>
      </w:r>
      <w:r w:rsidR="002950A0">
        <w:rPr>
          <w:rFonts w:ascii="Arial" w:hAnsi="Arial" w:cs="Arial"/>
        </w:rPr>
        <w:t>reduce secondary victimization.</w:t>
      </w:r>
      <w:r w:rsidR="00C50150">
        <w:rPr>
          <w:rFonts w:ascii="Arial" w:hAnsi="Arial" w:cs="Arial"/>
        </w:rPr>
        <w:t xml:space="preserve"> </w:t>
      </w:r>
      <w:r w:rsidR="00217A4A" w:rsidRPr="00217A4A">
        <w:rPr>
          <w:rFonts w:ascii="Arial" w:hAnsi="Arial" w:cs="Arial"/>
        </w:rPr>
        <w:t>In court, the victim has to once again relay their version of the events, and then they are also e</w:t>
      </w:r>
      <w:r w:rsidR="00A10689">
        <w:rPr>
          <w:rFonts w:ascii="Arial" w:hAnsi="Arial" w:cs="Arial"/>
        </w:rPr>
        <w:t>xposed to cross examination by</w:t>
      </w:r>
      <w:r w:rsidR="00217A4A" w:rsidRPr="00217A4A">
        <w:rPr>
          <w:rFonts w:ascii="Arial" w:hAnsi="Arial" w:cs="Arial"/>
        </w:rPr>
        <w:t xml:space="preserve"> the defense</w:t>
      </w:r>
      <w:r w:rsidR="000C5FC1">
        <w:rPr>
          <w:rFonts w:ascii="Arial" w:hAnsi="Arial" w:cs="Arial"/>
        </w:rPr>
        <w:t xml:space="preserve"> and questions from the bench</w:t>
      </w:r>
      <w:r w:rsidR="00217A4A" w:rsidRPr="00217A4A">
        <w:rPr>
          <w:rFonts w:ascii="Arial" w:hAnsi="Arial" w:cs="Arial"/>
        </w:rPr>
        <w:t xml:space="preserve">. Service providers, and </w:t>
      </w:r>
      <w:r w:rsidR="00A10689">
        <w:rPr>
          <w:rFonts w:ascii="Arial" w:hAnsi="Arial" w:cs="Arial"/>
        </w:rPr>
        <w:t xml:space="preserve">those </w:t>
      </w:r>
      <w:r w:rsidR="00217A4A" w:rsidRPr="00217A4A">
        <w:rPr>
          <w:rFonts w:ascii="Arial" w:hAnsi="Arial" w:cs="Arial"/>
        </w:rPr>
        <w:t xml:space="preserve">within the NPA environment, prosecutors and TCC staff, are specifically trained and encouraged </w:t>
      </w:r>
      <w:r w:rsidR="00217A4A" w:rsidRPr="00BB2AC6">
        <w:rPr>
          <w:rFonts w:ascii="Arial" w:hAnsi="Arial" w:cs="Arial"/>
        </w:rPr>
        <w:t xml:space="preserve">to </w:t>
      </w:r>
      <w:r w:rsidR="00BB2AC6" w:rsidRPr="00BB2AC6">
        <w:rPr>
          <w:rFonts w:ascii="Arial" w:hAnsi="Arial" w:cs="Arial"/>
        </w:rPr>
        <w:t xml:space="preserve">minimize </w:t>
      </w:r>
      <w:r w:rsidR="00217A4A" w:rsidRPr="00BB2AC6">
        <w:rPr>
          <w:rFonts w:ascii="Arial" w:hAnsi="Arial" w:cs="Arial"/>
        </w:rPr>
        <w:t>secondary</w:t>
      </w:r>
      <w:r w:rsidR="00217A4A" w:rsidRPr="00217A4A">
        <w:rPr>
          <w:rFonts w:ascii="Arial" w:hAnsi="Arial" w:cs="Arial"/>
        </w:rPr>
        <w:t xml:space="preserve"> victimi</w:t>
      </w:r>
      <w:r w:rsidR="000C5FC1">
        <w:rPr>
          <w:rFonts w:ascii="Arial" w:hAnsi="Arial" w:cs="Arial"/>
        </w:rPr>
        <w:t>s</w:t>
      </w:r>
      <w:r w:rsidR="00217A4A" w:rsidRPr="00217A4A">
        <w:rPr>
          <w:rFonts w:ascii="Arial" w:hAnsi="Arial" w:cs="Arial"/>
        </w:rPr>
        <w:t xml:space="preserve">ation, i.e. to </w:t>
      </w:r>
      <w:r w:rsidR="00BB2AC6" w:rsidRPr="00217A4A">
        <w:rPr>
          <w:rFonts w:ascii="Arial" w:hAnsi="Arial" w:cs="Arial"/>
        </w:rPr>
        <w:t>minimi</w:t>
      </w:r>
      <w:r w:rsidR="00BB2AC6">
        <w:rPr>
          <w:rFonts w:ascii="Arial" w:hAnsi="Arial" w:cs="Arial"/>
        </w:rPr>
        <w:t>z</w:t>
      </w:r>
      <w:r w:rsidR="00BB2AC6" w:rsidRPr="00217A4A">
        <w:rPr>
          <w:rFonts w:ascii="Arial" w:hAnsi="Arial" w:cs="Arial"/>
        </w:rPr>
        <w:t>e</w:t>
      </w:r>
      <w:r w:rsidR="00217A4A" w:rsidRPr="00217A4A">
        <w:rPr>
          <w:rFonts w:ascii="Arial" w:hAnsi="Arial" w:cs="Arial"/>
        </w:rPr>
        <w:t xml:space="preserve"> consultations, appoint one specific prosecutor to deal with a victim (which helps with rapport building, especially with younger victims), keep the victim updated as to the statu</w:t>
      </w:r>
      <w:r>
        <w:rPr>
          <w:rFonts w:ascii="Arial" w:hAnsi="Arial" w:cs="Arial"/>
        </w:rPr>
        <w:t xml:space="preserve">s of the case and to </w:t>
      </w:r>
      <w:r w:rsidR="00217A4A" w:rsidRPr="00217A4A">
        <w:rPr>
          <w:rFonts w:ascii="Arial" w:hAnsi="Arial" w:cs="Arial"/>
        </w:rPr>
        <w:t>ensure that court preparation is provided</w:t>
      </w:r>
      <w:r w:rsidR="00BB2AC6">
        <w:rPr>
          <w:rFonts w:ascii="Arial" w:hAnsi="Arial" w:cs="Arial"/>
        </w:rPr>
        <w:t>,</w:t>
      </w:r>
      <w:r w:rsidR="00217A4A" w:rsidRPr="00217A4A">
        <w:rPr>
          <w:rFonts w:ascii="Arial" w:hAnsi="Arial" w:cs="Arial"/>
        </w:rPr>
        <w:t xml:space="preserve"> and that the necessary counselling has been offered. </w:t>
      </w:r>
    </w:p>
    <w:p w:rsidR="00A30C38" w:rsidRDefault="00A30C38" w:rsidP="006A60FF">
      <w:pPr>
        <w:spacing w:line="360" w:lineRule="auto"/>
        <w:ind w:left="567" w:hanging="567"/>
        <w:jc w:val="both"/>
        <w:rPr>
          <w:rFonts w:ascii="Arial" w:hAnsi="Arial" w:cs="Arial"/>
        </w:rPr>
      </w:pPr>
    </w:p>
    <w:p w:rsidR="008629DD" w:rsidRDefault="00217A4A" w:rsidP="00DE4BD2">
      <w:pPr>
        <w:spacing w:line="360" w:lineRule="auto"/>
        <w:ind w:left="720"/>
        <w:jc w:val="both"/>
        <w:rPr>
          <w:rFonts w:ascii="Arial" w:hAnsi="Arial" w:cs="Arial"/>
        </w:rPr>
      </w:pPr>
      <w:r w:rsidRPr="00217A4A">
        <w:rPr>
          <w:rFonts w:ascii="Arial" w:hAnsi="Arial" w:cs="Arial"/>
        </w:rPr>
        <w:t xml:space="preserve">Prosecutors also have a duty to inform victims of the various protective measures provided for in the </w:t>
      </w:r>
      <w:r w:rsidR="00BB2AC6" w:rsidRPr="00954105">
        <w:rPr>
          <w:rFonts w:ascii="Arial" w:hAnsi="Arial" w:cs="Arial"/>
        </w:rPr>
        <w:t>Criminal Procedure Act</w:t>
      </w:r>
      <w:r w:rsidR="00954105">
        <w:rPr>
          <w:rFonts w:ascii="Arial" w:hAnsi="Arial" w:cs="Arial"/>
        </w:rPr>
        <w:t xml:space="preserve"> of</w:t>
      </w:r>
      <w:r w:rsidRPr="00217A4A">
        <w:rPr>
          <w:rFonts w:ascii="Arial" w:hAnsi="Arial" w:cs="Arial"/>
        </w:rPr>
        <w:t xml:space="preserve"> 1977, i.e. section 153, which provides a court to sit </w:t>
      </w:r>
      <w:r w:rsidRPr="00217A4A">
        <w:rPr>
          <w:rFonts w:ascii="Arial" w:hAnsi="Arial" w:cs="Arial"/>
          <w:i/>
          <w:iCs/>
        </w:rPr>
        <w:t>in camera</w:t>
      </w:r>
      <w:r w:rsidRPr="00217A4A">
        <w:rPr>
          <w:rFonts w:ascii="Arial" w:hAnsi="Arial" w:cs="Arial"/>
        </w:rPr>
        <w:t>, section 154, which prevents the personal details of</w:t>
      </w:r>
      <w:r w:rsidR="00F96FF8">
        <w:rPr>
          <w:rFonts w:ascii="Arial" w:hAnsi="Arial" w:cs="Arial"/>
        </w:rPr>
        <w:t xml:space="preserve"> the victim to be made public, s</w:t>
      </w:r>
      <w:r w:rsidRPr="00217A4A">
        <w:rPr>
          <w:rFonts w:ascii="Arial" w:hAnsi="Arial" w:cs="Arial"/>
        </w:rPr>
        <w:t>ection 158, which allows for adult persons to test</w:t>
      </w:r>
      <w:r w:rsidR="00F96FF8">
        <w:rPr>
          <w:rFonts w:ascii="Arial" w:hAnsi="Arial" w:cs="Arial"/>
        </w:rPr>
        <w:t>ify through as CCTV camera and </w:t>
      </w:r>
      <w:r w:rsidRPr="00217A4A">
        <w:rPr>
          <w:rFonts w:ascii="Arial" w:hAnsi="Arial" w:cs="Arial"/>
        </w:rPr>
        <w:t>sec</w:t>
      </w:r>
      <w:r w:rsidR="00F96FF8">
        <w:rPr>
          <w:rFonts w:ascii="Arial" w:hAnsi="Arial" w:cs="Arial"/>
        </w:rPr>
        <w:t>tion</w:t>
      </w:r>
      <w:r w:rsidRPr="00217A4A">
        <w:rPr>
          <w:rFonts w:ascii="Arial" w:hAnsi="Arial" w:cs="Arial"/>
        </w:rPr>
        <w:t xml:space="preserve"> 170A, which allows, by application, for the use of an intermediary for persons under the biological or mental age of 18.</w:t>
      </w:r>
    </w:p>
    <w:p w:rsidR="00DE4BD2" w:rsidRDefault="008629DD" w:rsidP="00DE4BD2">
      <w:pPr>
        <w:numPr>
          <w:ilvl w:val="0"/>
          <w:numId w:val="6"/>
        </w:numPr>
        <w:spacing w:line="360" w:lineRule="auto"/>
        <w:jc w:val="both"/>
        <w:rPr>
          <w:rFonts w:ascii="Arial" w:hAnsi="Arial" w:cs="Arial"/>
        </w:rPr>
      </w:pPr>
      <w:r>
        <w:rPr>
          <w:rFonts w:ascii="Arial" w:hAnsi="Arial" w:cs="Arial"/>
        </w:rPr>
        <w:t>(ii)</w:t>
      </w:r>
      <w:r>
        <w:rPr>
          <w:rFonts w:ascii="Arial" w:hAnsi="Arial" w:cs="Arial"/>
        </w:rPr>
        <w:tab/>
      </w:r>
      <w:r w:rsidR="00794032">
        <w:rPr>
          <w:rFonts w:ascii="Arial" w:hAnsi="Arial" w:cs="Arial"/>
        </w:rPr>
        <w:t xml:space="preserve">Victims of GBV are always encouraged to speak </w:t>
      </w:r>
      <w:r w:rsidR="00410F18">
        <w:rPr>
          <w:rFonts w:ascii="Arial" w:hAnsi="Arial" w:cs="Arial"/>
        </w:rPr>
        <w:t xml:space="preserve">out as it the only way that </w:t>
      </w:r>
      <w:r w:rsidR="00A10689">
        <w:rPr>
          <w:rFonts w:ascii="Arial" w:hAnsi="Arial" w:cs="Arial"/>
        </w:rPr>
        <w:t xml:space="preserve">we </w:t>
      </w:r>
    </w:p>
    <w:p w:rsidR="000374FF" w:rsidRDefault="00A10689" w:rsidP="00DE4BD2">
      <w:pPr>
        <w:spacing w:line="360" w:lineRule="auto"/>
        <w:ind w:left="720"/>
        <w:jc w:val="both"/>
        <w:rPr>
          <w:rFonts w:ascii="Arial" w:hAnsi="Arial" w:cs="Arial"/>
        </w:rPr>
      </w:pPr>
      <w:r>
        <w:rPr>
          <w:rFonts w:ascii="Arial" w:hAnsi="Arial" w:cs="Arial"/>
        </w:rPr>
        <w:t xml:space="preserve">can </w:t>
      </w:r>
      <w:r w:rsidR="00410F18">
        <w:rPr>
          <w:rFonts w:ascii="Arial" w:hAnsi="Arial" w:cs="Arial"/>
        </w:rPr>
        <w:t xml:space="preserve">put a stop to GBV and to ensure that victims access support services. </w:t>
      </w:r>
      <w:r w:rsidR="00E1295C">
        <w:rPr>
          <w:rFonts w:ascii="Arial" w:hAnsi="Arial" w:cs="Arial"/>
        </w:rPr>
        <w:t xml:space="preserve">A lot is being done to prevent secondary victimisation </w:t>
      </w:r>
      <w:r w:rsidR="00410F18">
        <w:rPr>
          <w:rFonts w:ascii="Arial" w:hAnsi="Arial" w:cs="Arial"/>
        </w:rPr>
        <w:t xml:space="preserve">in the </w:t>
      </w:r>
      <w:r>
        <w:rPr>
          <w:rFonts w:ascii="Arial" w:hAnsi="Arial" w:cs="Arial"/>
        </w:rPr>
        <w:t xml:space="preserve">broader </w:t>
      </w:r>
      <w:r w:rsidR="00410F18">
        <w:rPr>
          <w:rFonts w:ascii="Arial" w:hAnsi="Arial" w:cs="Arial"/>
        </w:rPr>
        <w:t>criminal justice system. One of the principles that guides the implementation of the Nationa</w:t>
      </w:r>
      <w:r w:rsidR="009F2348">
        <w:rPr>
          <w:rFonts w:ascii="Arial" w:hAnsi="Arial" w:cs="Arial"/>
        </w:rPr>
        <w:t>l Strategic Plan on GBV and Femi</w:t>
      </w:r>
      <w:r w:rsidR="00410F18">
        <w:rPr>
          <w:rFonts w:ascii="Arial" w:hAnsi="Arial" w:cs="Arial"/>
        </w:rPr>
        <w:t xml:space="preserve">cide’s </w:t>
      </w:r>
      <w:r w:rsidR="000374FF" w:rsidRPr="000374FF">
        <w:rPr>
          <w:rFonts w:ascii="Arial" w:hAnsi="Arial" w:cs="Arial"/>
        </w:rPr>
        <w:t>programmes are</w:t>
      </w:r>
      <w:r w:rsidR="000374FF">
        <w:rPr>
          <w:rFonts w:ascii="Arial" w:hAnsi="Arial" w:cs="Arial"/>
        </w:rPr>
        <w:t xml:space="preserve"> </w:t>
      </w:r>
      <w:r w:rsidR="00410F18">
        <w:rPr>
          <w:rFonts w:ascii="Arial" w:hAnsi="Arial" w:cs="Arial"/>
        </w:rPr>
        <w:t>a</w:t>
      </w:r>
      <w:r w:rsidR="000374FF" w:rsidRPr="000374FF">
        <w:rPr>
          <w:rFonts w:ascii="Arial" w:hAnsi="Arial" w:cs="Arial"/>
        </w:rPr>
        <w:t xml:space="preserve"> human rights-based, victim-centred,</w:t>
      </w:r>
      <w:r w:rsidR="00410F18">
        <w:rPr>
          <w:rFonts w:ascii="Arial" w:hAnsi="Arial" w:cs="Arial"/>
        </w:rPr>
        <w:t xml:space="preserve"> </w:t>
      </w:r>
      <w:r w:rsidR="000374FF" w:rsidRPr="000374FF">
        <w:rPr>
          <w:rFonts w:ascii="Arial" w:hAnsi="Arial" w:cs="Arial"/>
        </w:rPr>
        <w:t>survi</w:t>
      </w:r>
      <w:r w:rsidR="00410F18">
        <w:rPr>
          <w:rFonts w:ascii="Arial" w:hAnsi="Arial" w:cs="Arial"/>
        </w:rPr>
        <w:t>vor-focused approach to the pro</w:t>
      </w:r>
      <w:r w:rsidR="000374FF" w:rsidRPr="000374FF">
        <w:rPr>
          <w:rFonts w:ascii="Arial" w:hAnsi="Arial" w:cs="Arial"/>
        </w:rPr>
        <w:t>vision of se</w:t>
      </w:r>
      <w:r w:rsidR="00410F18">
        <w:rPr>
          <w:rFonts w:ascii="Arial" w:hAnsi="Arial" w:cs="Arial"/>
        </w:rPr>
        <w:t>rvices that reaches all, regard</w:t>
      </w:r>
      <w:r w:rsidR="000374FF" w:rsidRPr="000374FF">
        <w:rPr>
          <w:rFonts w:ascii="Arial" w:hAnsi="Arial" w:cs="Arial"/>
        </w:rPr>
        <w:t>less of financial means</w:t>
      </w:r>
      <w:r w:rsidR="000374FF">
        <w:rPr>
          <w:rFonts w:ascii="Arial" w:hAnsi="Arial" w:cs="Arial"/>
        </w:rPr>
        <w:t>.</w:t>
      </w:r>
      <w:r w:rsidR="000374FF" w:rsidRPr="000374FF">
        <w:t xml:space="preserve"> </w:t>
      </w:r>
      <w:r w:rsidR="000374FF">
        <w:rPr>
          <w:rFonts w:ascii="Arial" w:hAnsi="Arial" w:cs="Arial"/>
        </w:rPr>
        <w:t xml:space="preserve">A victim-centred approach is </w:t>
      </w:r>
      <w:r w:rsidR="00410F18">
        <w:rPr>
          <w:rFonts w:ascii="Arial" w:hAnsi="Arial" w:cs="Arial"/>
        </w:rPr>
        <w:t xml:space="preserve">the systematic focus on the needs </w:t>
      </w:r>
      <w:r w:rsidR="000374FF" w:rsidRPr="000374FF">
        <w:rPr>
          <w:rFonts w:ascii="Arial" w:hAnsi="Arial" w:cs="Arial"/>
        </w:rPr>
        <w:t>and</w:t>
      </w:r>
      <w:r w:rsidR="00410F18">
        <w:rPr>
          <w:rFonts w:ascii="Arial" w:hAnsi="Arial" w:cs="Arial"/>
        </w:rPr>
        <w:t xml:space="preserve"> </w:t>
      </w:r>
      <w:r w:rsidR="000374FF" w:rsidRPr="000374FF">
        <w:rPr>
          <w:rFonts w:ascii="Arial" w:hAnsi="Arial" w:cs="Arial"/>
        </w:rPr>
        <w:t>concerns of</w:t>
      </w:r>
      <w:r w:rsidR="00410F18">
        <w:rPr>
          <w:rFonts w:ascii="Arial" w:hAnsi="Arial" w:cs="Arial"/>
        </w:rPr>
        <w:t xml:space="preserve"> a victim to ensure the compass</w:t>
      </w:r>
      <w:r w:rsidR="000374FF" w:rsidRPr="000374FF">
        <w:rPr>
          <w:rFonts w:ascii="Arial" w:hAnsi="Arial" w:cs="Arial"/>
        </w:rPr>
        <w:t>ionate and sensitive delivery of services in a</w:t>
      </w:r>
      <w:r w:rsidR="00410F18">
        <w:rPr>
          <w:rFonts w:ascii="Arial" w:hAnsi="Arial" w:cs="Arial"/>
        </w:rPr>
        <w:t xml:space="preserve"> </w:t>
      </w:r>
      <w:r w:rsidR="00DE4BD2">
        <w:rPr>
          <w:rFonts w:ascii="Arial" w:hAnsi="Arial" w:cs="Arial"/>
        </w:rPr>
        <w:t xml:space="preserve">non-judgmental manner. </w:t>
      </w:r>
      <w:r w:rsidR="000374FF" w:rsidRPr="000374FF">
        <w:rPr>
          <w:rFonts w:ascii="Arial" w:hAnsi="Arial" w:cs="Arial"/>
        </w:rPr>
        <w:t xml:space="preserve">It seeks to </w:t>
      </w:r>
      <w:r w:rsidR="00410F18">
        <w:rPr>
          <w:rFonts w:ascii="Arial" w:hAnsi="Arial" w:cs="Arial"/>
        </w:rPr>
        <w:t xml:space="preserve">minimize </w:t>
      </w:r>
      <w:r w:rsidR="000374FF" w:rsidRPr="000374FF">
        <w:rPr>
          <w:rFonts w:ascii="Arial" w:hAnsi="Arial" w:cs="Arial"/>
        </w:rPr>
        <w:t>traumatisation associated with criminal justice</w:t>
      </w:r>
      <w:r w:rsidR="00410F18">
        <w:rPr>
          <w:rFonts w:ascii="Arial" w:hAnsi="Arial" w:cs="Arial"/>
        </w:rPr>
        <w:t xml:space="preserve"> </w:t>
      </w:r>
      <w:r w:rsidR="006A60FF">
        <w:rPr>
          <w:rFonts w:ascii="Arial" w:hAnsi="Arial" w:cs="Arial"/>
        </w:rPr>
        <w:t xml:space="preserve">processes by providing </w:t>
      </w:r>
      <w:r w:rsidR="000374FF" w:rsidRPr="000374FF">
        <w:rPr>
          <w:rFonts w:ascii="Arial" w:hAnsi="Arial" w:cs="Arial"/>
        </w:rPr>
        <w:t>support of victim</w:t>
      </w:r>
      <w:r w:rsidR="00410F18">
        <w:rPr>
          <w:rFonts w:ascii="Arial" w:hAnsi="Arial" w:cs="Arial"/>
        </w:rPr>
        <w:t xml:space="preserve"> </w:t>
      </w:r>
      <w:r w:rsidR="000374FF" w:rsidRPr="000374FF">
        <w:rPr>
          <w:rFonts w:ascii="Arial" w:hAnsi="Arial" w:cs="Arial"/>
        </w:rPr>
        <w:t>advocates and service providers, empowering</w:t>
      </w:r>
      <w:r w:rsidR="00410F18">
        <w:rPr>
          <w:rFonts w:ascii="Arial" w:hAnsi="Arial" w:cs="Arial"/>
        </w:rPr>
        <w:t xml:space="preserve"> </w:t>
      </w:r>
      <w:r w:rsidR="00DE4BD2">
        <w:rPr>
          <w:rFonts w:ascii="Arial" w:hAnsi="Arial" w:cs="Arial"/>
        </w:rPr>
        <w:t xml:space="preserve">survivors as engaged participants in </w:t>
      </w:r>
      <w:r w:rsidR="000374FF" w:rsidRPr="000374FF">
        <w:rPr>
          <w:rFonts w:ascii="Arial" w:hAnsi="Arial" w:cs="Arial"/>
        </w:rPr>
        <w:t>the</w:t>
      </w:r>
      <w:r w:rsidR="00410F18">
        <w:rPr>
          <w:rFonts w:ascii="Arial" w:hAnsi="Arial" w:cs="Arial"/>
        </w:rPr>
        <w:t xml:space="preserve"> </w:t>
      </w:r>
      <w:r w:rsidR="000374FF" w:rsidRPr="000374FF">
        <w:rPr>
          <w:rFonts w:ascii="Arial" w:hAnsi="Arial" w:cs="Arial"/>
        </w:rPr>
        <w:t>process, a</w:t>
      </w:r>
      <w:r w:rsidR="00410F18">
        <w:rPr>
          <w:rFonts w:ascii="Arial" w:hAnsi="Arial" w:cs="Arial"/>
        </w:rPr>
        <w:t>nd providing survivors an oppor</w:t>
      </w:r>
      <w:r w:rsidR="000374FF" w:rsidRPr="000374FF">
        <w:rPr>
          <w:rFonts w:ascii="Arial" w:hAnsi="Arial" w:cs="Arial"/>
        </w:rPr>
        <w:t>tunity to play a role in seeing their offenders</w:t>
      </w:r>
      <w:r w:rsidR="00410F18">
        <w:rPr>
          <w:rFonts w:ascii="Arial" w:hAnsi="Arial" w:cs="Arial"/>
        </w:rPr>
        <w:t xml:space="preserve"> brought to justice.</w:t>
      </w:r>
    </w:p>
    <w:p w:rsidR="00410F18" w:rsidRDefault="00410F18" w:rsidP="006A60FF">
      <w:pPr>
        <w:spacing w:line="360" w:lineRule="auto"/>
        <w:ind w:left="567" w:hanging="567"/>
        <w:jc w:val="both"/>
        <w:rPr>
          <w:rFonts w:ascii="Arial" w:hAnsi="Arial" w:cs="Arial"/>
        </w:rPr>
      </w:pPr>
    </w:p>
    <w:p w:rsidR="003E518F" w:rsidRDefault="00410F18" w:rsidP="00DE4BD2">
      <w:pPr>
        <w:spacing w:line="360" w:lineRule="auto"/>
        <w:ind w:left="720"/>
        <w:jc w:val="both"/>
        <w:rPr>
          <w:rFonts w:ascii="Arial" w:hAnsi="Arial" w:cs="Arial"/>
        </w:rPr>
      </w:pPr>
      <w:r>
        <w:rPr>
          <w:rFonts w:ascii="Arial" w:hAnsi="Arial" w:cs="Arial"/>
        </w:rPr>
        <w:t>There are also structures which aim to further assist and support specific vulnerable groups, such as victims of trafficking in persons and members of the LGBTI community when they are victims of GBV.</w:t>
      </w:r>
    </w:p>
    <w:p w:rsidR="003E518F" w:rsidRDefault="003E518F" w:rsidP="006A60FF">
      <w:pPr>
        <w:spacing w:line="360" w:lineRule="auto"/>
        <w:ind w:left="567" w:hanging="567"/>
        <w:jc w:val="both"/>
        <w:rPr>
          <w:rFonts w:ascii="Arial" w:hAnsi="Arial" w:cs="Arial"/>
        </w:rPr>
      </w:pPr>
    </w:p>
    <w:p w:rsidR="00CF77E6" w:rsidRDefault="00A10689" w:rsidP="00DE4BD2">
      <w:pPr>
        <w:spacing w:line="360" w:lineRule="auto"/>
        <w:ind w:left="720"/>
        <w:jc w:val="both"/>
        <w:rPr>
          <w:rFonts w:ascii="Arial" w:hAnsi="Arial" w:cs="Arial"/>
        </w:rPr>
      </w:pPr>
      <w:r>
        <w:rPr>
          <w:rFonts w:ascii="Arial" w:hAnsi="Arial" w:cs="Arial"/>
        </w:rPr>
        <w:t xml:space="preserve">New legislation is also underway to further strengthen the rights and protection of victims of GBV. </w:t>
      </w:r>
      <w:r w:rsidR="003E518F">
        <w:rPr>
          <w:rFonts w:ascii="Arial" w:hAnsi="Arial" w:cs="Arial"/>
        </w:rPr>
        <w:t xml:space="preserve">The Domestic Violence Amendment Bill </w:t>
      </w:r>
      <w:r w:rsidR="003E518F">
        <w:rPr>
          <w:rFonts w:ascii="Arial" w:hAnsi="Arial" w:cs="Arial"/>
          <w:lang w:val="en-ZA"/>
        </w:rPr>
        <w:t>i</w:t>
      </w:r>
      <w:r>
        <w:rPr>
          <w:rFonts w:ascii="Arial" w:hAnsi="Arial" w:cs="Arial"/>
          <w:lang w:val="en-ZA"/>
        </w:rPr>
        <w:t>s one of a package of three</w:t>
      </w:r>
      <w:r w:rsidR="003E518F" w:rsidRPr="003E518F">
        <w:rPr>
          <w:rFonts w:ascii="Arial" w:hAnsi="Arial" w:cs="Arial"/>
          <w:lang w:val="en-ZA"/>
        </w:rPr>
        <w:t xml:space="preserve"> legislative interventions which are intended to contribute to the fight against the scourge of gende</w:t>
      </w:r>
      <w:r w:rsidR="00DE4BD2">
        <w:rPr>
          <w:rFonts w:ascii="Arial" w:hAnsi="Arial" w:cs="Arial"/>
          <w:lang w:val="en-ZA"/>
        </w:rPr>
        <w:t xml:space="preserve">r-based violence and femicide. </w:t>
      </w:r>
      <w:r w:rsidR="003E518F" w:rsidRPr="003E518F">
        <w:rPr>
          <w:rFonts w:ascii="Arial" w:hAnsi="Arial" w:cs="Arial"/>
          <w:lang w:val="en-ZA"/>
        </w:rPr>
        <w:t>The two other Bills seek to amend the statutory provisions in the Criminal Procedure Act, 1977 and the Criminal Law Amendment Act, 1997, dealing with bail and sentencing, as well as the National Register for Sex</w:t>
      </w:r>
      <w:r w:rsidR="003E518F">
        <w:rPr>
          <w:rFonts w:ascii="Arial" w:hAnsi="Arial" w:cs="Arial"/>
          <w:lang w:val="en-ZA"/>
        </w:rPr>
        <w:t xml:space="preserve"> Offenders. </w:t>
      </w:r>
      <w:r w:rsidR="003E518F" w:rsidRPr="003E518F">
        <w:rPr>
          <w:rFonts w:ascii="Arial" w:hAnsi="Arial" w:cs="Arial"/>
          <w:lang w:val="en-ZA"/>
        </w:rPr>
        <w:t>Appropriate legislation to redu</w:t>
      </w:r>
      <w:r>
        <w:rPr>
          <w:rFonts w:ascii="Arial" w:hAnsi="Arial" w:cs="Arial"/>
          <w:lang w:val="en-ZA"/>
        </w:rPr>
        <w:t>ce and prevent GBV is of critical importance. It is envisaged that these</w:t>
      </w:r>
      <w:r w:rsidR="003E518F">
        <w:rPr>
          <w:rFonts w:ascii="Arial" w:hAnsi="Arial" w:cs="Arial"/>
          <w:lang w:val="en-ZA"/>
        </w:rPr>
        <w:t xml:space="preserve"> Bills will be introduced into Parliament shortly and will go a long way in further combating and preventing all forms of GBV.</w:t>
      </w:r>
      <w:r w:rsidR="003E518F">
        <w:rPr>
          <w:rFonts w:ascii="Arial" w:hAnsi="Arial" w:cs="Arial"/>
        </w:rPr>
        <w:t xml:space="preserve"> </w:t>
      </w:r>
    </w:p>
    <w:p w:rsidR="004B356A" w:rsidRDefault="004B356A" w:rsidP="006A60FF">
      <w:pPr>
        <w:spacing w:line="360" w:lineRule="auto"/>
        <w:ind w:left="567"/>
        <w:jc w:val="both"/>
        <w:rPr>
          <w:rFonts w:ascii="Arial" w:hAnsi="Arial" w:cs="Arial"/>
        </w:rPr>
      </w:pPr>
    </w:p>
    <w:p w:rsidR="004B356A" w:rsidRPr="004B356A" w:rsidRDefault="004B356A" w:rsidP="00DE4BD2">
      <w:pPr>
        <w:spacing w:line="360" w:lineRule="auto"/>
        <w:ind w:left="720"/>
        <w:jc w:val="both"/>
        <w:rPr>
          <w:rFonts w:ascii="Arial" w:hAnsi="Arial" w:cs="Arial"/>
        </w:rPr>
      </w:pPr>
      <w:r>
        <w:rPr>
          <w:rFonts w:ascii="Arial" w:hAnsi="Arial" w:cs="Arial"/>
        </w:rPr>
        <w:t xml:space="preserve">In addition to the legislation </w:t>
      </w:r>
      <w:r w:rsidR="00DE4BD2">
        <w:rPr>
          <w:rFonts w:ascii="Arial" w:hAnsi="Arial" w:cs="Arial"/>
        </w:rPr>
        <w:t xml:space="preserve">being prepared by my Department, </w:t>
      </w:r>
      <w:r>
        <w:rPr>
          <w:rFonts w:ascii="Arial" w:hAnsi="Arial" w:cs="Arial"/>
        </w:rPr>
        <w:t xml:space="preserve">the Department of Social Development is also working on a </w:t>
      </w:r>
      <w:r w:rsidRPr="004B356A">
        <w:rPr>
          <w:rFonts w:ascii="Arial" w:hAnsi="Arial" w:cs="Arial"/>
        </w:rPr>
        <w:t>Victim Support Services Bill</w:t>
      </w:r>
      <w:r>
        <w:rPr>
          <w:rFonts w:ascii="Arial" w:hAnsi="Arial" w:cs="Arial"/>
        </w:rPr>
        <w:t xml:space="preserve">. The </w:t>
      </w:r>
      <w:r w:rsidR="00DE4BD2">
        <w:rPr>
          <w:rFonts w:ascii="Arial" w:hAnsi="Arial" w:cs="Arial"/>
        </w:rPr>
        <w:t>B</w:t>
      </w:r>
      <w:r>
        <w:rPr>
          <w:rFonts w:ascii="Arial" w:hAnsi="Arial" w:cs="Arial"/>
        </w:rPr>
        <w:t>ill was gazetted on 17 July 2020 and recogniz</w:t>
      </w:r>
      <w:r w:rsidRPr="004B356A">
        <w:rPr>
          <w:rFonts w:ascii="Arial" w:hAnsi="Arial" w:cs="Arial"/>
        </w:rPr>
        <w:t>e</w:t>
      </w:r>
      <w:r>
        <w:rPr>
          <w:rFonts w:ascii="Arial" w:hAnsi="Arial" w:cs="Arial"/>
        </w:rPr>
        <w:t>s</w:t>
      </w:r>
      <w:r w:rsidRPr="004B356A">
        <w:rPr>
          <w:rFonts w:ascii="Arial" w:hAnsi="Arial" w:cs="Arial"/>
        </w:rPr>
        <w:t xml:space="preserve"> that victims experience secondary victimisation and therefore creates a prohibition against such.</w:t>
      </w:r>
      <w:r>
        <w:rPr>
          <w:rFonts w:ascii="Arial" w:hAnsi="Arial" w:cs="Arial"/>
        </w:rPr>
        <w:t xml:space="preserve"> </w:t>
      </w:r>
      <w:r w:rsidRPr="004B356A">
        <w:rPr>
          <w:rFonts w:ascii="Arial" w:hAnsi="Arial" w:cs="Arial"/>
          <w:lang w:val="en-ZA"/>
        </w:rPr>
        <w:t>It provides that seconda</w:t>
      </w:r>
      <w:r>
        <w:rPr>
          <w:rFonts w:ascii="Arial" w:hAnsi="Arial" w:cs="Arial"/>
          <w:lang w:val="en-ZA"/>
        </w:rPr>
        <w:t xml:space="preserve">ry victimisation </w:t>
      </w:r>
      <w:r w:rsidRPr="004B356A">
        <w:rPr>
          <w:rFonts w:ascii="Arial" w:hAnsi="Arial" w:cs="Arial"/>
          <w:lang w:val="en-ZA"/>
        </w:rPr>
        <w:t xml:space="preserve">needs to be prevented at all </w:t>
      </w:r>
      <w:r>
        <w:rPr>
          <w:rFonts w:ascii="Arial" w:hAnsi="Arial" w:cs="Arial"/>
          <w:lang w:val="en-ZA"/>
        </w:rPr>
        <w:t xml:space="preserve">times through service provision and </w:t>
      </w:r>
      <w:r w:rsidRPr="004B356A">
        <w:rPr>
          <w:rFonts w:ascii="Arial" w:hAnsi="Arial" w:cs="Arial"/>
          <w:lang w:val="en-ZA"/>
        </w:rPr>
        <w:t>stipulates the various services to be provided to v</w:t>
      </w:r>
      <w:r w:rsidR="00A10689">
        <w:rPr>
          <w:rFonts w:ascii="Arial" w:hAnsi="Arial" w:cs="Arial"/>
          <w:lang w:val="en-ZA"/>
        </w:rPr>
        <w:t>ictims.</w:t>
      </w:r>
    </w:p>
    <w:p w:rsidR="004B356A" w:rsidRPr="00217A4A" w:rsidRDefault="004B356A" w:rsidP="006A60FF">
      <w:pPr>
        <w:spacing w:line="360" w:lineRule="auto"/>
        <w:ind w:left="567"/>
        <w:jc w:val="both"/>
        <w:rPr>
          <w:rFonts w:ascii="Arial" w:hAnsi="Arial" w:cs="Arial"/>
        </w:rPr>
      </w:pPr>
    </w:p>
    <w:sectPr w:rsidR="004B356A" w:rsidRPr="00217A4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6C4" w:rsidRDefault="007006C4" w:rsidP="00700542">
      <w:r>
        <w:separator/>
      </w:r>
    </w:p>
  </w:endnote>
  <w:endnote w:type="continuationSeparator" w:id="0">
    <w:p w:rsidR="007006C4" w:rsidRDefault="007006C4" w:rsidP="00700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89" w:rsidRDefault="00A10689">
    <w:pPr>
      <w:pStyle w:val="Footer"/>
      <w:jc w:val="center"/>
    </w:pPr>
    <w:fldSimple w:instr=" PAGE   \* MERGEFORMAT ">
      <w:r w:rsidR="007006C4">
        <w:rPr>
          <w:noProof/>
        </w:rPr>
        <w:t>1</w:t>
      </w:r>
    </w:fldSimple>
  </w:p>
  <w:p w:rsidR="00700542" w:rsidRDefault="00700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6C4" w:rsidRDefault="007006C4" w:rsidP="00700542">
      <w:r>
        <w:separator/>
      </w:r>
    </w:p>
  </w:footnote>
  <w:footnote w:type="continuationSeparator" w:id="0">
    <w:p w:rsidR="007006C4" w:rsidRDefault="007006C4" w:rsidP="00700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59F"/>
    <w:multiLevelType w:val="hybridMultilevel"/>
    <w:tmpl w:val="5858BF76"/>
    <w:lvl w:ilvl="0" w:tplc="1C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72E0346"/>
    <w:multiLevelType w:val="hybridMultilevel"/>
    <w:tmpl w:val="A63CBF0C"/>
    <w:lvl w:ilvl="0" w:tplc="20E0A49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ED037E5"/>
    <w:multiLevelType w:val="hybridMultilevel"/>
    <w:tmpl w:val="EBD6FC0C"/>
    <w:lvl w:ilvl="0" w:tplc="E6B680FE">
      <w:start w:val="1"/>
      <w:numFmt w:val="decimal"/>
      <w:lvlText w:val="%1."/>
      <w:lvlJc w:val="left"/>
      <w:pPr>
        <w:ind w:left="10440" w:hanging="360"/>
      </w:pPr>
      <w:rPr>
        <w:sz w:val="24"/>
        <w:szCs w:val="24"/>
      </w:rPr>
    </w:lvl>
    <w:lvl w:ilvl="1" w:tplc="04090019">
      <w:start w:val="1"/>
      <w:numFmt w:val="lowerLetter"/>
      <w:lvlText w:val="%2."/>
      <w:lvlJc w:val="left"/>
      <w:pPr>
        <w:ind w:left="11160" w:hanging="360"/>
      </w:pPr>
    </w:lvl>
    <w:lvl w:ilvl="2" w:tplc="0409001B">
      <w:start w:val="1"/>
      <w:numFmt w:val="lowerRoman"/>
      <w:lvlText w:val="%3."/>
      <w:lvlJc w:val="right"/>
      <w:pPr>
        <w:ind w:left="11880" w:hanging="180"/>
      </w:pPr>
    </w:lvl>
    <w:lvl w:ilvl="3" w:tplc="0409000F">
      <w:start w:val="1"/>
      <w:numFmt w:val="decimal"/>
      <w:lvlText w:val="%4."/>
      <w:lvlJc w:val="left"/>
      <w:pPr>
        <w:ind w:left="12600" w:hanging="360"/>
      </w:pPr>
    </w:lvl>
    <w:lvl w:ilvl="4" w:tplc="04090019">
      <w:start w:val="1"/>
      <w:numFmt w:val="lowerLetter"/>
      <w:lvlText w:val="%5."/>
      <w:lvlJc w:val="left"/>
      <w:pPr>
        <w:ind w:left="13320" w:hanging="360"/>
      </w:pPr>
    </w:lvl>
    <w:lvl w:ilvl="5" w:tplc="0409001B">
      <w:start w:val="1"/>
      <w:numFmt w:val="lowerRoman"/>
      <w:lvlText w:val="%6."/>
      <w:lvlJc w:val="right"/>
      <w:pPr>
        <w:ind w:left="14040" w:hanging="180"/>
      </w:pPr>
    </w:lvl>
    <w:lvl w:ilvl="6" w:tplc="0409000F">
      <w:start w:val="1"/>
      <w:numFmt w:val="decimal"/>
      <w:lvlText w:val="%7."/>
      <w:lvlJc w:val="left"/>
      <w:pPr>
        <w:ind w:left="14760" w:hanging="360"/>
      </w:pPr>
    </w:lvl>
    <w:lvl w:ilvl="7" w:tplc="04090019">
      <w:start w:val="1"/>
      <w:numFmt w:val="lowerLetter"/>
      <w:lvlText w:val="%8."/>
      <w:lvlJc w:val="left"/>
      <w:pPr>
        <w:ind w:left="15480" w:hanging="360"/>
      </w:pPr>
    </w:lvl>
    <w:lvl w:ilvl="8" w:tplc="0409001B">
      <w:start w:val="1"/>
      <w:numFmt w:val="lowerRoman"/>
      <w:lvlText w:val="%9."/>
      <w:lvlJc w:val="right"/>
      <w:pPr>
        <w:ind w:left="16200" w:hanging="180"/>
      </w:pPr>
    </w:lvl>
  </w:abstractNum>
  <w:abstractNum w:abstractNumId="3">
    <w:nsid w:val="594D189B"/>
    <w:multiLevelType w:val="hybridMultilevel"/>
    <w:tmpl w:val="5D2A94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B9B6F9A"/>
    <w:multiLevelType w:val="hybridMultilevel"/>
    <w:tmpl w:val="F5880CF2"/>
    <w:lvl w:ilvl="0" w:tplc="BB1A578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D33AEA"/>
    <w:multiLevelType w:val="hybridMultilevel"/>
    <w:tmpl w:val="6282A1C6"/>
    <w:lvl w:ilvl="0" w:tplc="1C09000F">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17A4A"/>
    <w:rsid w:val="000374FF"/>
    <w:rsid w:val="000C5FC1"/>
    <w:rsid w:val="00201F03"/>
    <w:rsid w:val="00217A4A"/>
    <w:rsid w:val="002950A0"/>
    <w:rsid w:val="002B0600"/>
    <w:rsid w:val="003E518F"/>
    <w:rsid w:val="00410F18"/>
    <w:rsid w:val="004902A5"/>
    <w:rsid w:val="004B356A"/>
    <w:rsid w:val="00515E5F"/>
    <w:rsid w:val="0064409B"/>
    <w:rsid w:val="006A60FF"/>
    <w:rsid w:val="00700542"/>
    <w:rsid w:val="007006C4"/>
    <w:rsid w:val="007237B0"/>
    <w:rsid w:val="007827F6"/>
    <w:rsid w:val="00794032"/>
    <w:rsid w:val="007B5D69"/>
    <w:rsid w:val="007E5080"/>
    <w:rsid w:val="00813E35"/>
    <w:rsid w:val="008629DD"/>
    <w:rsid w:val="00863093"/>
    <w:rsid w:val="008920B3"/>
    <w:rsid w:val="00913512"/>
    <w:rsid w:val="00954105"/>
    <w:rsid w:val="009F2348"/>
    <w:rsid w:val="00A10689"/>
    <w:rsid w:val="00A15C52"/>
    <w:rsid w:val="00A30C38"/>
    <w:rsid w:val="00A803E0"/>
    <w:rsid w:val="00A81406"/>
    <w:rsid w:val="00B46468"/>
    <w:rsid w:val="00B6230E"/>
    <w:rsid w:val="00BB2AC6"/>
    <w:rsid w:val="00C50150"/>
    <w:rsid w:val="00CF77E6"/>
    <w:rsid w:val="00D04307"/>
    <w:rsid w:val="00D332DC"/>
    <w:rsid w:val="00D67286"/>
    <w:rsid w:val="00DA6C93"/>
    <w:rsid w:val="00DE4BD2"/>
    <w:rsid w:val="00E1295C"/>
    <w:rsid w:val="00ED18E6"/>
    <w:rsid w:val="00F5604A"/>
    <w:rsid w:val="00F60474"/>
    <w:rsid w:val="00F96F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4A"/>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4A"/>
    <w:pPr>
      <w:ind w:left="720"/>
    </w:pPr>
    <w:rPr>
      <w:rFonts w:ascii="Calibri" w:eastAsia="Calibri" w:hAnsi="Calibri" w:cs="Calibri"/>
      <w:sz w:val="22"/>
      <w:szCs w:val="22"/>
      <w:lang w:val="en-ZA" w:eastAsia="en-ZA"/>
    </w:rPr>
  </w:style>
  <w:style w:type="character" w:styleId="CommentReference">
    <w:name w:val="annotation reference"/>
    <w:uiPriority w:val="99"/>
    <w:semiHidden/>
    <w:unhideWhenUsed/>
    <w:rsid w:val="00A15C52"/>
    <w:rPr>
      <w:sz w:val="16"/>
      <w:szCs w:val="16"/>
    </w:rPr>
  </w:style>
  <w:style w:type="paragraph" w:styleId="CommentText">
    <w:name w:val="annotation text"/>
    <w:basedOn w:val="Normal"/>
    <w:link w:val="CommentTextChar"/>
    <w:uiPriority w:val="99"/>
    <w:semiHidden/>
    <w:unhideWhenUsed/>
    <w:rsid w:val="00A15C52"/>
    <w:rPr>
      <w:sz w:val="20"/>
      <w:szCs w:val="20"/>
    </w:rPr>
  </w:style>
  <w:style w:type="character" w:customStyle="1" w:styleId="CommentTextChar">
    <w:name w:val="Comment Text Char"/>
    <w:link w:val="CommentText"/>
    <w:uiPriority w:val="99"/>
    <w:semiHidden/>
    <w:rsid w:val="00A15C5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5C52"/>
    <w:rPr>
      <w:b/>
      <w:bCs/>
    </w:rPr>
  </w:style>
  <w:style w:type="character" w:customStyle="1" w:styleId="CommentSubjectChar">
    <w:name w:val="Comment Subject Char"/>
    <w:link w:val="CommentSubject"/>
    <w:uiPriority w:val="99"/>
    <w:semiHidden/>
    <w:rsid w:val="00A15C5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15C52"/>
    <w:rPr>
      <w:rFonts w:ascii="Segoe UI" w:hAnsi="Segoe UI" w:cs="Segoe UI"/>
      <w:sz w:val="18"/>
      <w:szCs w:val="18"/>
    </w:rPr>
  </w:style>
  <w:style w:type="character" w:customStyle="1" w:styleId="BalloonTextChar">
    <w:name w:val="Balloon Text Char"/>
    <w:link w:val="BalloonText"/>
    <w:uiPriority w:val="99"/>
    <w:semiHidden/>
    <w:rsid w:val="00A15C52"/>
    <w:rPr>
      <w:rFonts w:ascii="Segoe UI" w:eastAsia="Times New Roman" w:hAnsi="Segoe UI" w:cs="Segoe UI"/>
      <w:sz w:val="18"/>
      <w:szCs w:val="18"/>
      <w:lang w:val="en-US"/>
    </w:rPr>
  </w:style>
  <w:style w:type="paragraph" w:styleId="Header">
    <w:name w:val="header"/>
    <w:basedOn w:val="Normal"/>
    <w:link w:val="HeaderChar"/>
    <w:uiPriority w:val="99"/>
    <w:unhideWhenUsed/>
    <w:rsid w:val="00700542"/>
    <w:pPr>
      <w:tabs>
        <w:tab w:val="center" w:pos="4680"/>
        <w:tab w:val="right" w:pos="9360"/>
      </w:tabs>
    </w:pPr>
  </w:style>
  <w:style w:type="character" w:customStyle="1" w:styleId="HeaderChar">
    <w:name w:val="Header Char"/>
    <w:link w:val="Header"/>
    <w:uiPriority w:val="99"/>
    <w:rsid w:val="00700542"/>
    <w:rPr>
      <w:rFonts w:ascii="Times New Roman" w:eastAsia="Times New Roman" w:hAnsi="Times New Roman"/>
      <w:sz w:val="24"/>
      <w:szCs w:val="24"/>
    </w:rPr>
  </w:style>
  <w:style w:type="paragraph" w:styleId="Footer">
    <w:name w:val="footer"/>
    <w:basedOn w:val="Normal"/>
    <w:link w:val="FooterChar"/>
    <w:uiPriority w:val="99"/>
    <w:unhideWhenUsed/>
    <w:rsid w:val="00700542"/>
    <w:pPr>
      <w:tabs>
        <w:tab w:val="center" w:pos="4680"/>
        <w:tab w:val="right" w:pos="9360"/>
      </w:tabs>
    </w:pPr>
  </w:style>
  <w:style w:type="character" w:customStyle="1" w:styleId="FooterChar">
    <w:name w:val="Footer Char"/>
    <w:link w:val="Footer"/>
    <w:uiPriority w:val="99"/>
    <w:rsid w:val="00700542"/>
    <w:rPr>
      <w:rFonts w:ascii="Times New Roman" w:eastAsia="Times New Roman" w:hAnsi="Times New Roman"/>
      <w:sz w:val="24"/>
      <w:szCs w:val="24"/>
    </w:rPr>
  </w:style>
  <w:style w:type="paragraph" w:styleId="NormalWeb">
    <w:name w:val="Normal (Web)"/>
    <w:basedOn w:val="Normal"/>
    <w:uiPriority w:val="99"/>
    <w:semiHidden/>
    <w:unhideWhenUsed/>
    <w:rsid w:val="004B356A"/>
  </w:style>
</w:styles>
</file>

<file path=word/webSettings.xml><?xml version="1.0" encoding="utf-8"?>
<w:webSettings xmlns:r="http://schemas.openxmlformats.org/officeDocument/2006/relationships" xmlns:w="http://schemas.openxmlformats.org/wordprocessingml/2006/main">
  <w:divs>
    <w:div w:id="345980814">
      <w:bodyDiv w:val="1"/>
      <w:marLeft w:val="0"/>
      <w:marRight w:val="0"/>
      <w:marTop w:val="0"/>
      <w:marBottom w:val="0"/>
      <w:divBdr>
        <w:top w:val="none" w:sz="0" w:space="0" w:color="auto"/>
        <w:left w:val="none" w:sz="0" w:space="0" w:color="auto"/>
        <w:bottom w:val="none" w:sz="0" w:space="0" w:color="auto"/>
        <w:right w:val="none" w:sz="0" w:space="0" w:color="auto"/>
      </w:divBdr>
    </w:div>
    <w:div w:id="1075053750">
      <w:bodyDiv w:val="1"/>
      <w:marLeft w:val="0"/>
      <w:marRight w:val="0"/>
      <w:marTop w:val="0"/>
      <w:marBottom w:val="0"/>
      <w:divBdr>
        <w:top w:val="none" w:sz="0" w:space="0" w:color="auto"/>
        <w:left w:val="none" w:sz="0" w:space="0" w:color="auto"/>
        <w:bottom w:val="none" w:sz="0" w:space="0" w:color="auto"/>
        <w:right w:val="none" w:sz="0" w:space="0" w:color="auto"/>
      </w:divBdr>
    </w:div>
    <w:div w:id="2127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National Prosecuting Authority</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Smith</dc:creator>
  <cp:lastModifiedBy>PUMZA</cp:lastModifiedBy>
  <cp:revision>2</cp:revision>
  <cp:lastPrinted>2020-08-04T12:52:00Z</cp:lastPrinted>
  <dcterms:created xsi:type="dcterms:W3CDTF">2020-08-14T11:10:00Z</dcterms:created>
  <dcterms:modified xsi:type="dcterms:W3CDTF">2020-08-14T11:10:00Z</dcterms:modified>
</cp:coreProperties>
</file>