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8D" w:rsidRDefault="00C94A8D" w:rsidP="00C94A8D">
      <w:pPr>
        <w:ind w:left="-540"/>
        <w:rPr>
          <w:sz w:val="22"/>
        </w:rPr>
      </w:pPr>
      <w:bookmarkStart w:id="0" w:name="_GoBack"/>
      <w:bookmarkEnd w:id="0"/>
    </w:p>
    <w:p w:rsidR="00AA5CBF" w:rsidRPr="004D116D" w:rsidRDefault="00AA5CBF" w:rsidP="00AA5CBF">
      <w:pPr>
        <w:spacing w:line="276" w:lineRule="auto"/>
        <w:ind w:left="-142" w:right="328"/>
        <w:jc w:val="center"/>
        <w:rPr>
          <w:szCs w:val="24"/>
        </w:rPr>
      </w:pPr>
      <w:r w:rsidRPr="004D116D">
        <w:rPr>
          <w:noProof/>
          <w:szCs w:val="24"/>
          <w:lang w:val="en-ZA" w:eastAsia="en-ZA"/>
        </w:rPr>
        <w:drawing>
          <wp:inline distT="0" distB="0" distL="0" distR="0">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1809750"/>
                    </a:xfrm>
                    <a:prstGeom prst="rect">
                      <a:avLst/>
                    </a:prstGeom>
                    <a:noFill/>
                    <a:ln>
                      <a:noFill/>
                    </a:ln>
                  </pic:spPr>
                </pic:pic>
              </a:graphicData>
            </a:graphic>
          </wp:inline>
        </w:drawing>
      </w:r>
    </w:p>
    <w:p w:rsidR="00AA5CBF" w:rsidRPr="004D116D" w:rsidRDefault="00AA5CBF" w:rsidP="00AA5CBF">
      <w:pPr>
        <w:spacing w:line="276" w:lineRule="auto"/>
        <w:ind w:left="426" w:right="328" w:firstLine="720"/>
        <w:rPr>
          <w:rFonts w:cs="Arial"/>
          <w:b/>
          <w:szCs w:val="24"/>
        </w:rPr>
      </w:pPr>
    </w:p>
    <w:p w:rsidR="00AA5CBF" w:rsidRPr="004D116D" w:rsidRDefault="00AA5CBF" w:rsidP="00AA5CBF">
      <w:pPr>
        <w:spacing w:line="276" w:lineRule="auto"/>
        <w:ind w:right="328"/>
        <w:jc w:val="center"/>
        <w:rPr>
          <w:rFonts w:cs="Arial"/>
          <w:b/>
          <w:szCs w:val="24"/>
        </w:rPr>
      </w:pPr>
      <w:r w:rsidRPr="004D116D">
        <w:rPr>
          <w:rFonts w:cs="Arial"/>
          <w:b/>
          <w:szCs w:val="24"/>
        </w:rPr>
        <w:t>DEPARTMENT: PUBLIC ENTERPRISES</w:t>
      </w:r>
    </w:p>
    <w:p w:rsidR="00AA5CBF" w:rsidRPr="004D116D" w:rsidRDefault="00AA5CBF" w:rsidP="00AA5CBF">
      <w:pPr>
        <w:spacing w:line="276" w:lineRule="auto"/>
        <w:ind w:right="328"/>
        <w:jc w:val="center"/>
        <w:rPr>
          <w:rFonts w:cs="Arial"/>
          <w:b/>
          <w:szCs w:val="24"/>
        </w:rPr>
      </w:pPr>
      <w:r w:rsidRPr="004D116D">
        <w:rPr>
          <w:rFonts w:cs="Arial"/>
          <w:b/>
          <w:szCs w:val="24"/>
        </w:rPr>
        <w:t>REPUBLIC OF SOUTH AFRICA</w:t>
      </w:r>
    </w:p>
    <w:p w:rsidR="00AA5CBF" w:rsidRPr="004D116D" w:rsidRDefault="00AA5CBF" w:rsidP="004A25C3">
      <w:pPr>
        <w:spacing w:line="276" w:lineRule="auto"/>
        <w:ind w:right="328"/>
        <w:rPr>
          <w:rFonts w:cs="Arial"/>
          <w:b/>
          <w:szCs w:val="24"/>
        </w:rPr>
      </w:pPr>
      <w:r w:rsidRPr="004D116D">
        <w:rPr>
          <w:rFonts w:cs="Arial"/>
          <w:b/>
          <w:szCs w:val="24"/>
        </w:rPr>
        <w:t>NATIONAL ASSEMBLY</w:t>
      </w:r>
    </w:p>
    <w:p w:rsidR="00AA5CBF" w:rsidRPr="004D116D" w:rsidRDefault="00AA5CBF" w:rsidP="00AA5CBF">
      <w:pPr>
        <w:spacing w:line="276" w:lineRule="auto"/>
        <w:ind w:left="426" w:right="328"/>
        <w:rPr>
          <w:rFonts w:cs="Arial"/>
          <w:b/>
          <w:bCs/>
          <w:szCs w:val="24"/>
        </w:rPr>
      </w:pPr>
    </w:p>
    <w:p w:rsidR="00AA5CBF" w:rsidRPr="004D116D" w:rsidRDefault="00AA5CBF" w:rsidP="00AA5CBF">
      <w:pPr>
        <w:spacing w:line="276" w:lineRule="auto"/>
        <w:ind w:right="328"/>
        <w:rPr>
          <w:rFonts w:cs="Arial"/>
          <w:b/>
          <w:bCs/>
          <w:szCs w:val="24"/>
        </w:rPr>
      </w:pPr>
    </w:p>
    <w:p w:rsidR="00AA5CBF" w:rsidRPr="004D116D" w:rsidRDefault="00AA5CBF" w:rsidP="00AA5CBF">
      <w:pPr>
        <w:spacing w:line="276" w:lineRule="auto"/>
        <w:ind w:right="328"/>
        <w:rPr>
          <w:rFonts w:cs="Arial"/>
          <w:b/>
          <w:bCs/>
          <w:szCs w:val="24"/>
        </w:rPr>
      </w:pPr>
      <w:r w:rsidRPr="004D116D">
        <w:rPr>
          <w:rFonts w:cs="Arial"/>
          <w:b/>
          <w:bCs/>
          <w:szCs w:val="24"/>
        </w:rPr>
        <w:t>QUESTION FOR WRITTEN REPLY</w:t>
      </w:r>
    </w:p>
    <w:p w:rsidR="00AA5CBF" w:rsidRPr="004D116D" w:rsidRDefault="00AA5CBF" w:rsidP="00AA5CBF">
      <w:pPr>
        <w:spacing w:line="276" w:lineRule="auto"/>
        <w:ind w:right="328"/>
        <w:rPr>
          <w:rFonts w:cs="Arial"/>
          <w:b/>
          <w:bCs/>
          <w:szCs w:val="24"/>
        </w:rPr>
      </w:pPr>
    </w:p>
    <w:p w:rsidR="00AA5CBF" w:rsidRPr="004D116D" w:rsidRDefault="00AA5CBF" w:rsidP="00AA5CBF">
      <w:pPr>
        <w:spacing w:line="276" w:lineRule="auto"/>
        <w:ind w:right="328"/>
        <w:rPr>
          <w:rFonts w:cs="Arial"/>
          <w:b/>
          <w:bCs/>
          <w:szCs w:val="24"/>
        </w:rPr>
      </w:pPr>
      <w:r w:rsidRPr="004D116D">
        <w:rPr>
          <w:rFonts w:cs="Arial"/>
          <w:b/>
          <w:bCs/>
          <w:szCs w:val="24"/>
        </w:rPr>
        <w:t xml:space="preserve">QUESTION NO.: </w:t>
      </w:r>
      <w:r w:rsidR="00ED581B">
        <w:rPr>
          <w:rFonts w:cs="Arial"/>
          <w:b/>
          <w:bCs/>
          <w:szCs w:val="24"/>
        </w:rPr>
        <w:t>1</w:t>
      </w:r>
      <w:r w:rsidR="00E44CCE">
        <w:rPr>
          <w:rFonts w:cs="Arial"/>
          <w:b/>
          <w:bCs/>
          <w:szCs w:val="24"/>
        </w:rPr>
        <w:t>478</w:t>
      </w:r>
    </w:p>
    <w:p w:rsidR="00AA5CBF" w:rsidRPr="004D116D" w:rsidRDefault="00AA5CBF" w:rsidP="00AA5CBF">
      <w:pPr>
        <w:spacing w:line="276" w:lineRule="auto"/>
        <w:ind w:right="328"/>
        <w:rPr>
          <w:rFonts w:cs="Arial"/>
          <w:b/>
          <w:bCs/>
          <w:szCs w:val="24"/>
        </w:rPr>
      </w:pPr>
    </w:p>
    <w:p w:rsidR="00AA5CBF" w:rsidRPr="004D116D" w:rsidRDefault="00AA5CBF" w:rsidP="00AA5CBF">
      <w:pPr>
        <w:tabs>
          <w:tab w:val="left" w:pos="7088"/>
        </w:tabs>
        <w:spacing w:line="276" w:lineRule="auto"/>
        <w:ind w:right="328"/>
        <w:rPr>
          <w:b/>
          <w:szCs w:val="24"/>
        </w:rPr>
      </w:pPr>
      <w:r w:rsidRPr="004D116D">
        <w:rPr>
          <w:rFonts w:cs="Arial"/>
          <w:b/>
          <w:bCs/>
          <w:szCs w:val="24"/>
        </w:rPr>
        <w:t xml:space="preserve">DATE OF PUBLICATION:  </w:t>
      </w:r>
    </w:p>
    <w:p w:rsidR="00AA5CBF" w:rsidRPr="004D116D" w:rsidRDefault="00AA5CBF" w:rsidP="00AA5CBF">
      <w:pPr>
        <w:tabs>
          <w:tab w:val="left" w:pos="7088"/>
        </w:tabs>
        <w:spacing w:line="276" w:lineRule="auto"/>
        <w:ind w:left="426" w:right="328"/>
        <w:rPr>
          <w:b/>
          <w:szCs w:val="24"/>
        </w:rPr>
      </w:pPr>
    </w:p>
    <w:p w:rsidR="00AA5CBF" w:rsidRDefault="00AA5CBF" w:rsidP="00AA5CBF">
      <w:pPr>
        <w:ind w:left="709" w:hanging="709"/>
        <w:jc w:val="both"/>
        <w:rPr>
          <w:rFonts w:ascii="Calibri" w:hAnsi="Calibri"/>
          <w:sz w:val="22"/>
          <w:lang w:val="en-ZA" w:eastAsia="en-US"/>
        </w:rPr>
      </w:pPr>
      <w:r w:rsidRPr="00B614CA">
        <w:rPr>
          <w:rFonts w:ascii="Times New Roman" w:eastAsiaTheme="minorHAnsi" w:hAnsi="Times New Roman"/>
          <w:b/>
          <w:noProof/>
          <w:szCs w:val="24"/>
          <w:lang w:val="en-GB"/>
        </w:rPr>
        <w:tab/>
      </w:r>
      <w:r w:rsidR="00E44CCE" w:rsidRPr="00E44CCE">
        <w:rPr>
          <w:b/>
          <w:bCs/>
          <w:lang w:val="en-ZA"/>
        </w:rPr>
        <w:t>Mr D C Ross (DA) to ask the Minister of Public Enterprises:</w:t>
      </w:r>
    </w:p>
    <w:p w:rsidR="00E44CCE" w:rsidRPr="00E44CCE" w:rsidRDefault="00E44CCE" w:rsidP="00E44CCE">
      <w:pPr>
        <w:spacing w:before="100" w:beforeAutospacing="1" w:after="100" w:afterAutospacing="1" w:line="259" w:lineRule="auto"/>
        <w:ind w:left="1440" w:hanging="720"/>
        <w:jc w:val="both"/>
        <w:rPr>
          <w:iCs/>
        </w:rPr>
      </w:pPr>
      <w:r w:rsidRPr="00E44CCE">
        <w:rPr>
          <w:iCs/>
        </w:rPr>
        <w:t>(1)</w:t>
      </w:r>
      <w:r w:rsidRPr="00E44CCE">
        <w:rPr>
          <w:iCs/>
        </w:rPr>
        <w:tab/>
        <w:t xml:space="preserve">Whether, with reference to the reply of the President, Mr C M Ramaphosa, to the debate on the State 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rsidR="003F0D68" w:rsidRPr="00ED581B" w:rsidRDefault="00E44CCE" w:rsidP="00E44CCE">
      <w:pPr>
        <w:spacing w:before="100" w:beforeAutospacing="1" w:after="100" w:afterAutospacing="1" w:line="259" w:lineRule="auto"/>
        <w:ind w:left="720"/>
        <w:jc w:val="both"/>
        <w:rPr>
          <w:rFonts w:eastAsia="Calibri" w:cs="Arial"/>
          <w:color w:val="auto"/>
          <w:szCs w:val="24"/>
          <w:lang w:eastAsia="en-US"/>
        </w:rPr>
      </w:pPr>
      <w:r w:rsidRPr="00E44CCE">
        <w:rPr>
          <w:iCs/>
        </w:rPr>
        <w:t>(2)</w:t>
      </w:r>
      <w:r w:rsidRPr="00E44CCE">
        <w:rPr>
          <w:iCs/>
        </w:rPr>
        <w:tab/>
        <w:t>whether he will furnish Mr D C Ross with copies of the lifestyle audit reports</w:t>
      </w:r>
      <w:r w:rsidRPr="00E44CCE">
        <w:t>?</w:t>
      </w:r>
    </w:p>
    <w:p w:rsidR="00AA5CBF" w:rsidRDefault="00AA5CBF" w:rsidP="00AA5CBF">
      <w:pPr>
        <w:jc w:val="both"/>
        <w:rPr>
          <w:lang w:val="en-ZA"/>
        </w:rPr>
      </w:pPr>
    </w:p>
    <w:p w:rsidR="00AA5CBF" w:rsidRDefault="00AA5CBF" w:rsidP="00AA5CBF">
      <w:pPr>
        <w:pStyle w:val="NormalWeb"/>
        <w:spacing w:after="0" w:line="360" w:lineRule="auto"/>
        <w:rPr>
          <w:rFonts w:ascii="Arial" w:hAnsi="Arial" w:cs="Arial"/>
          <w:b/>
          <w:bCs/>
        </w:rPr>
      </w:pPr>
      <w:r w:rsidRPr="00BF0A3F">
        <w:rPr>
          <w:rFonts w:ascii="Arial" w:hAnsi="Arial" w:cs="Arial"/>
          <w:b/>
          <w:bCs/>
        </w:rPr>
        <w:t xml:space="preserve">REPLY: </w:t>
      </w:r>
    </w:p>
    <w:p w:rsidR="00DD21C7" w:rsidRDefault="00DD21C7" w:rsidP="003F0D68">
      <w:pPr>
        <w:jc w:val="both"/>
        <w:rPr>
          <w:rFonts w:eastAsiaTheme="minorHAnsi" w:cs="Arial"/>
          <w:color w:val="auto"/>
          <w:szCs w:val="24"/>
          <w:lang w:eastAsia="en-US"/>
        </w:rPr>
      </w:pPr>
      <w:r>
        <w:rPr>
          <w:rFonts w:eastAsiaTheme="minorHAnsi" w:cs="Arial"/>
          <w:color w:val="auto"/>
          <w:szCs w:val="24"/>
          <w:lang w:eastAsia="en-US"/>
        </w:rPr>
        <w:tab/>
      </w:r>
    </w:p>
    <w:p w:rsidR="00ED581B" w:rsidRPr="00DD21C7" w:rsidRDefault="00DD21C7" w:rsidP="003F0D68">
      <w:pPr>
        <w:jc w:val="both"/>
        <w:rPr>
          <w:rFonts w:eastAsiaTheme="minorHAnsi" w:cs="Arial"/>
          <w:b/>
          <w:color w:val="auto"/>
          <w:szCs w:val="24"/>
          <w:lang w:eastAsia="en-US"/>
        </w:rPr>
      </w:pPr>
      <w:r>
        <w:rPr>
          <w:rFonts w:eastAsiaTheme="minorHAnsi" w:cs="Arial"/>
          <w:color w:val="auto"/>
          <w:szCs w:val="24"/>
          <w:lang w:eastAsia="en-US"/>
        </w:rPr>
        <w:tab/>
      </w:r>
      <w:r w:rsidRPr="00DD21C7">
        <w:rPr>
          <w:rFonts w:eastAsiaTheme="minorHAnsi" w:cs="Arial"/>
          <w:b/>
          <w:color w:val="auto"/>
          <w:szCs w:val="24"/>
          <w:lang w:eastAsia="en-US"/>
        </w:rPr>
        <w:t xml:space="preserve">The following is the input in response to question no: 1478 </w:t>
      </w:r>
      <w:r w:rsidR="00ED581B" w:rsidRPr="00DD21C7">
        <w:rPr>
          <w:rFonts w:eastAsiaTheme="minorHAnsi" w:cs="Arial"/>
          <w:b/>
          <w:color w:val="auto"/>
          <w:szCs w:val="24"/>
          <w:lang w:eastAsia="en-US"/>
        </w:rPr>
        <w:tab/>
      </w:r>
    </w:p>
    <w:p w:rsidR="00DD21C7" w:rsidRDefault="00DD21C7" w:rsidP="003F0D68">
      <w:pPr>
        <w:jc w:val="both"/>
        <w:rPr>
          <w:rFonts w:eastAsiaTheme="minorHAnsi" w:cs="Arial"/>
          <w:color w:val="auto"/>
          <w:szCs w:val="24"/>
          <w:lang w:eastAsia="en-US"/>
        </w:rPr>
      </w:pPr>
    </w:p>
    <w:p w:rsidR="00FB5721" w:rsidRDefault="00E44CCE" w:rsidP="00E44CCE">
      <w:pPr>
        <w:ind w:left="720"/>
        <w:jc w:val="both"/>
        <w:rPr>
          <w:rFonts w:eastAsia="Calibri" w:cs="Arial"/>
          <w:szCs w:val="24"/>
          <w:lang w:eastAsia="en-ZA"/>
        </w:rPr>
      </w:pPr>
      <w:r w:rsidRPr="00E44CCE">
        <w:rPr>
          <w:rFonts w:eastAsia="Calibri" w:cs="Arial"/>
          <w:szCs w:val="24"/>
          <w:lang w:eastAsia="en-ZA"/>
        </w:rPr>
        <w:t>1 (a)</w:t>
      </w:r>
      <w:r w:rsidR="00EB6DDA">
        <w:rPr>
          <w:rFonts w:eastAsia="Calibri" w:cs="Arial"/>
          <w:szCs w:val="24"/>
          <w:lang w:eastAsia="en-ZA"/>
        </w:rPr>
        <w:t xml:space="preserve"> </w:t>
      </w:r>
      <w:r w:rsidR="00FB5721">
        <w:rPr>
          <w:rFonts w:eastAsia="Calibri" w:cs="Arial"/>
          <w:szCs w:val="24"/>
          <w:lang w:eastAsia="en-ZA"/>
        </w:rPr>
        <w:t xml:space="preserve">Cabinet members declare their financial </w:t>
      </w:r>
      <w:r w:rsidR="00EB6DDA">
        <w:rPr>
          <w:rFonts w:eastAsia="Calibri" w:cs="Arial"/>
          <w:szCs w:val="24"/>
          <w:lang w:eastAsia="en-ZA"/>
        </w:rPr>
        <w:t xml:space="preserve">interests </w:t>
      </w:r>
      <w:r w:rsidR="00FB5721">
        <w:rPr>
          <w:rFonts w:eastAsia="Calibri" w:cs="Arial"/>
          <w:szCs w:val="24"/>
          <w:lang w:eastAsia="en-ZA"/>
        </w:rPr>
        <w:t>with the Presidency and the Parliamentary Ethics Committee.  Therefore, the aforementioned structures should be competent to respond to questions regarding the lifestyle audit of the Minister of Public Enterp</w:t>
      </w:r>
      <w:r w:rsidR="00E816FF">
        <w:rPr>
          <w:rFonts w:eastAsia="Calibri" w:cs="Arial"/>
          <w:szCs w:val="24"/>
          <w:lang w:eastAsia="en-ZA"/>
        </w:rPr>
        <w:t>rises and other members of the C</w:t>
      </w:r>
      <w:r w:rsidR="00FB5721">
        <w:rPr>
          <w:rFonts w:eastAsia="Calibri" w:cs="Arial"/>
          <w:szCs w:val="24"/>
          <w:lang w:eastAsia="en-ZA"/>
        </w:rPr>
        <w:t>abinet.</w:t>
      </w:r>
    </w:p>
    <w:p w:rsidR="00A14F13" w:rsidRDefault="00A14F13" w:rsidP="00E44CCE">
      <w:pPr>
        <w:ind w:left="720"/>
        <w:jc w:val="both"/>
        <w:rPr>
          <w:rFonts w:eastAsia="Calibri" w:cs="Arial"/>
          <w:szCs w:val="24"/>
          <w:lang w:eastAsia="en-ZA"/>
        </w:rPr>
      </w:pPr>
    </w:p>
    <w:p w:rsidR="00FB5721" w:rsidRDefault="00FB5721" w:rsidP="00E44CCE">
      <w:pPr>
        <w:ind w:left="720"/>
        <w:jc w:val="both"/>
        <w:rPr>
          <w:rFonts w:eastAsia="Calibri" w:cs="Arial"/>
          <w:szCs w:val="24"/>
          <w:lang w:eastAsia="en-ZA"/>
        </w:rPr>
      </w:pPr>
      <w:r>
        <w:rPr>
          <w:rFonts w:eastAsia="Calibri" w:cs="Arial"/>
          <w:szCs w:val="24"/>
          <w:lang w:eastAsia="en-ZA"/>
        </w:rPr>
        <w:t>(b)</w:t>
      </w:r>
      <w:r w:rsidR="00A14F13">
        <w:rPr>
          <w:rFonts w:eastAsia="Calibri" w:cs="Arial"/>
          <w:szCs w:val="24"/>
          <w:lang w:eastAsia="en-ZA"/>
        </w:rPr>
        <w:t xml:space="preserve"> Members of the </w:t>
      </w:r>
      <w:r>
        <w:rPr>
          <w:rFonts w:eastAsia="Calibri" w:cs="Arial"/>
          <w:szCs w:val="24"/>
          <w:lang w:eastAsia="en-ZA"/>
        </w:rPr>
        <w:t xml:space="preserve">Senior </w:t>
      </w:r>
      <w:r w:rsidR="00A14F13">
        <w:rPr>
          <w:rFonts w:eastAsia="Calibri" w:cs="Arial"/>
          <w:szCs w:val="24"/>
          <w:lang w:eastAsia="en-ZA"/>
        </w:rPr>
        <w:t>Management S</w:t>
      </w:r>
      <w:r>
        <w:rPr>
          <w:rFonts w:eastAsia="Calibri" w:cs="Arial"/>
          <w:szCs w:val="24"/>
          <w:lang w:eastAsia="en-ZA"/>
        </w:rPr>
        <w:t>ervice</w:t>
      </w:r>
      <w:r w:rsidR="00A14F13">
        <w:rPr>
          <w:rFonts w:eastAsia="Calibri" w:cs="Arial"/>
          <w:szCs w:val="24"/>
          <w:lang w:eastAsia="en-ZA"/>
        </w:rPr>
        <w:t xml:space="preserve"> (SMS)</w:t>
      </w:r>
      <w:r>
        <w:rPr>
          <w:rFonts w:eastAsia="Calibri" w:cs="Arial"/>
          <w:szCs w:val="24"/>
          <w:lang w:eastAsia="en-ZA"/>
        </w:rPr>
        <w:t xml:space="preserve"> in the department declare their financial interest with the </w:t>
      </w:r>
      <w:r w:rsidR="00720B50">
        <w:rPr>
          <w:rFonts w:eastAsia="Calibri" w:cs="Arial"/>
          <w:szCs w:val="24"/>
          <w:lang w:eastAsia="en-ZA"/>
        </w:rPr>
        <w:t xml:space="preserve">Public Service Commission </w:t>
      </w:r>
      <w:r>
        <w:rPr>
          <w:rFonts w:eastAsia="Calibri" w:cs="Arial"/>
          <w:szCs w:val="24"/>
          <w:lang w:eastAsia="en-ZA"/>
        </w:rPr>
        <w:t>annually</w:t>
      </w:r>
      <w:r w:rsidR="00720B50">
        <w:rPr>
          <w:rFonts w:eastAsia="Calibri" w:cs="Arial"/>
          <w:szCs w:val="24"/>
          <w:lang w:eastAsia="en-ZA"/>
        </w:rPr>
        <w:t xml:space="preserve"> (PSC</w:t>
      </w:r>
      <w:r w:rsidR="00A14F13">
        <w:rPr>
          <w:rFonts w:eastAsia="Calibri" w:cs="Arial"/>
          <w:szCs w:val="24"/>
          <w:lang w:eastAsia="en-ZA"/>
        </w:rPr>
        <w:t>)</w:t>
      </w:r>
      <w:r>
        <w:rPr>
          <w:rFonts w:eastAsia="Calibri" w:cs="Arial"/>
          <w:szCs w:val="24"/>
          <w:lang w:eastAsia="en-ZA"/>
        </w:rPr>
        <w:t>.  Therefore, notwithstanding the Ministry and the Department’s Plan to conduct lifestyle audits of key SMS and SOC officials</w:t>
      </w:r>
      <w:r w:rsidR="00A14F13">
        <w:rPr>
          <w:rFonts w:eastAsia="Calibri" w:cs="Arial"/>
          <w:szCs w:val="24"/>
          <w:lang w:eastAsia="en-ZA"/>
        </w:rPr>
        <w:t xml:space="preserve"> in the current financial year, </w:t>
      </w:r>
      <w:r w:rsidR="00720B50">
        <w:rPr>
          <w:rFonts w:eastAsia="Calibri" w:cs="Arial"/>
          <w:szCs w:val="24"/>
          <w:lang w:eastAsia="en-ZA"/>
        </w:rPr>
        <w:t>the PSC</w:t>
      </w:r>
      <w:r>
        <w:rPr>
          <w:rFonts w:eastAsia="Calibri" w:cs="Arial"/>
          <w:szCs w:val="24"/>
          <w:lang w:eastAsia="en-ZA"/>
        </w:rPr>
        <w:t xml:space="preserve"> </w:t>
      </w:r>
      <w:r>
        <w:rPr>
          <w:rFonts w:eastAsia="Calibri" w:cs="Arial"/>
          <w:szCs w:val="24"/>
          <w:lang w:eastAsia="en-ZA"/>
        </w:rPr>
        <w:lastRenderedPageBreak/>
        <w:t xml:space="preserve">should </w:t>
      </w:r>
      <w:r w:rsidR="00720B50">
        <w:rPr>
          <w:rFonts w:eastAsia="Calibri" w:cs="Arial"/>
          <w:szCs w:val="24"/>
          <w:lang w:eastAsia="en-ZA"/>
        </w:rPr>
        <w:t>be</w:t>
      </w:r>
      <w:r w:rsidR="00A14F13">
        <w:rPr>
          <w:rFonts w:eastAsia="Calibri" w:cs="Arial"/>
          <w:szCs w:val="24"/>
          <w:lang w:eastAsia="en-ZA"/>
        </w:rPr>
        <w:t xml:space="preserve"> best placed to </w:t>
      </w:r>
      <w:r>
        <w:rPr>
          <w:rFonts w:eastAsia="Calibri" w:cs="Arial"/>
          <w:szCs w:val="24"/>
          <w:lang w:eastAsia="en-ZA"/>
        </w:rPr>
        <w:t>respond to the question</w:t>
      </w:r>
      <w:r w:rsidR="00A14F13">
        <w:rPr>
          <w:rFonts w:eastAsia="Calibri" w:cs="Arial"/>
          <w:szCs w:val="24"/>
          <w:lang w:eastAsia="en-ZA"/>
        </w:rPr>
        <w:t>s</w:t>
      </w:r>
      <w:r>
        <w:rPr>
          <w:rFonts w:eastAsia="Calibri" w:cs="Arial"/>
          <w:szCs w:val="24"/>
          <w:lang w:eastAsia="en-ZA"/>
        </w:rPr>
        <w:t xml:space="preserve"> concerning lifestyle audits</w:t>
      </w:r>
      <w:r w:rsidR="00A14F13">
        <w:rPr>
          <w:rFonts w:eastAsia="Calibri" w:cs="Arial"/>
          <w:szCs w:val="24"/>
          <w:lang w:eastAsia="en-ZA"/>
        </w:rPr>
        <w:t xml:space="preserve"> of</w:t>
      </w:r>
      <w:r>
        <w:rPr>
          <w:rFonts w:eastAsia="Calibri" w:cs="Arial"/>
          <w:szCs w:val="24"/>
          <w:lang w:eastAsia="en-ZA"/>
        </w:rPr>
        <w:t xml:space="preserve"> SMS members in the last three years. </w:t>
      </w:r>
    </w:p>
    <w:p w:rsidR="00E44CCE" w:rsidRDefault="00E44CCE" w:rsidP="00E44CCE">
      <w:pPr>
        <w:ind w:left="720"/>
        <w:jc w:val="both"/>
        <w:rPr>
          <w:rFonts w:eastAsia="Calibri" w:cs="Arial"/>
          <w:szCs w:val="24"/>
          <w:lang w:eastAsia="en-ZA"/>
        </w:rPr>
      </w:pPr>
      <w:r w:rsidRPr="00E44CCE">
        <w:rPr>
          <w:rFonts w:eastAsia="Calibri" w:cs="Arial"/>
          <w:szCs w:val="24"/>
          <w:lang w:eastAsia="en-ZA"/>
        </w:rPr>
        <w:t xml:space="preserve"> (c) On 06 April 2018, Proclamation no 11 of 2018 was published in order to authorize the Special Investigating Unit (SIU) to conduct investigations into allegations of malfeasance, fraud and corruption in Eskom and Transnet.  In executing the proclamation, among others, the SIU will conduct lifestyle audits of key SOC officials implicated in allegations malfeasance, fraud and corruption.   </w:t>
      </w:r>
      <w:r w:rsidR="00A14F13">
        <w:rPr>
          <w:rFonts w:eastAsia="Calibri" w:cs="Arial"/>
          <w:szCs w:val="24"/>
          <w:lang w:eastAsia="en-ZA"/>
        </w:rPr>
        <w:t>Among others, the declaration of financial interest made by SOCs’ officials</w:t>
      </w:r>
      <w:r w:rsidR="00C71560">
        <w:rPr>
          <w:rFonts w:eastAsia="Calibri" w:cs="Arial"/>
          <w:szCs w:val="24"/>
          <w:lang w:eastAsia="en-ZA"/>
        </w:rPr>
        <w:t xml:space="preserve"> between 2009 and to date </w:t>
      </w:r>
      <w:r w:rsidR="00A14F13">
        <w:rPr>
          <w:rFonts w:eastAsia="Calibri" w:cs="Arial"/>
          <w:szCs w:val="24"/>
          <w:lang w:eastAsia="en-ZA"/>
        </w:rPr>
        <w:t>will form the basis of the assessments to be conducted into the affordability of their lifestyle; how they may have</w:t>
      </w:r>
      <w:r w:rsidR="00C71560">
        <w:rPr>
          <w:rFonts w:eastAsia="Calibri" w:cs="Arial"/>
          <w:szCs w:val="24"/>
          <w:lang w:eastAsia="en-ZA"/>
        </w:rPr>
        <w:t xml:space="preserve"> unduly</w:t>
      </w:r>
      <w:r w:rsidR="00A14F13">
        <w:rPr>
          <w:rFonts w:eastAsia="Calibri" w:cs="Arial"/>
          <w:szCs w:val="24"/>
          <w:lang w:eastAsia="en-ZA"/>
        </w:rPr>
        <w:t xml:space="preserve"> benefited themselves and members of their families. </w:t>
      </w:r>
    </w:p>
    <w:p w:rsidR="00DD21C7" w:rsidRDefault="00DD21C7" w:rsidP="00E44CCE">
      <w:pPr>
        <w:ind w:left="720"/>
        <w:jc w:val="both"/>
        <w:rPr>
          <w:rFonts w:eastAsia="Calibri" w:cs="Arial"/>
          <w:szCs w:val="24"/>
          <w:lang w:eastAsia="en-ZA"/>
        </w:rPr>
      </w:pPr>
    </w:p>
    <w:p w:rsidR="00DD21C7" w:rsidRPr="00E44CCE" w:rsidRDefault="00DD21C7" w:rsidP="00E44CCE">
      <w:pPr>
        <w:ind w:left="720"/>
        <w:jc w:val="both"/>
        <w:rPr>
          <w:rFonts w:eastAsia="Calibri" w:cs="Arial"/>
          <w:szCs w:val="24"/>
          <w:lang w:eastAsia="en-ZA"/>
        </w:rPr>
      </w:pPr>
    </w:p>
    <w:p w:rsidR="00E44CCE" w:rsidRPr="00E44CCE" w:rsidRDefault="00E44CCE" w:rsidP="00E44CCE">
      <w:pPr>
        <w:numPr>
          <w:ilvl w:val="0"/>
          <w:numId w:val="5"/>
        </w:numPr>
        <w:jc w:val="both"/>
        <w:rPr>
          <w:rFonts w:eastAsia="Calibri" w:cs="Arial"/>
          <w:szCs w:val="24"/>
          <w:lang w:eastAsia="en-ZA"/>
        </w:rPr>
      </w:pPr>
      <w:r w:rsidRPr="00E44CCE">
        <w:rPr>
          <w:rFonts w:eastAsia="Calibri" w:cs="Arial"/>
          <w:szCs w:val="24"/>
          <w:lang w:eastAsia="en-ZA"/>
        </w:rPr>
        <w:t xml:space="preserve">Lifestyle audits will focus on the period commencing 01 April 2009 to date and are planned for completion by 31 March 2019. </w:t>
      </w:r>
      <w:r w:rsidR="00DD21C7">
        <w:rPr>
          <w:rFonts w:eastAsia="Calibri" w:cs="Arial"/>
          <w:szCs w:val="24"/>
          <w:lang w:eastAsia="en-ZA"/>
        </w:rPr>
        <w:t>Eskom has already commenced work on lifestyle audits.</w:t>
      </w:r>
    </w:p>
    <w:p w:rsidR="00E44CCE" w:rsidRPr="00E44CCE" w:rsidRDefault="00E44CCE" w:rsidP="00E44CCE">
      <w:pPr>
        <w:numPr>
          <w:ilvl w:val="0"/>
          <w:numId w:val="5"/>
        </w:numPr>
        <w:jc w:val="both"/>
        <w:rPr>
          <w:rFonts w:eastAsia="Calibri" w:cs="Arial"/>
          <w:szCs w:val="24"/>
          <w:lang w:eastAsia="en-ZA"/>
        </w:rPr>
      </w:pPr>
      <w:r w:rsidRPr="00E44CCE">
        <w:rPr>
          <w:rFonts w:eastAsia="Calibri" w:cs="Arial"/>
          <w:szCs w:val="24"/>
          <w:lang w:eastAsia="en-ZA"/>
        </w:rPr>
        <w:t xml:space="preserve">The first phase of the audits will cover Board members, Executives in SOCs, company secretaries and prescribed officers that have served in the SOCs since 2009 to date.  </w:t>
      </w:r>
    </w:p>
    <w:p w:rsidR="00E44CCE" w:rsidRDefault="00E44CCE" w:rsidP="00E44CCE">
      <w:pPr>
        <w:numPr>
          <w:ilvl w:val="0"/>
          <w:numId w:val="5"/>
        </w:numPr>
        <w:jc w:val="both"/>
        <w:rPr>
          <w:rFonts w:eastAsia="Calibri" w:cs="Arial"/>
          <w:szCs w:val="24"/>
          <w:lang w:eastAsia="en-ZA"/>
        </w:rPr>
      </w:pPr>
      <w:r w:rsidRPr="00E44CCE">
        <w:rPr>
          <w:rFonts w:eastAsia="Calibri" w:cs="Arial"/>
          <w:szCs w:val="24"/>
          <w:lang w:eastAsia="en-ZA"/>
        </w:rPr>
        <w:t xml:space="preserve">The SIU’s mandate will be extended to commence lifestyle audits that will cover all six SOCs under the Ministry of Public Enterprises.  This second phase of the lifestyle audits will focus on officials in supply chain management, auditors as </w:t>
      </w:r>
      <w:r w:rsidR="00FB5721" w:rsidRPr="00E44CCE">
        <w:rPr>
          <w:rFonts w:eastAsia="Calibri" w:cs="Arial"/>
          <w:szCs w:val="24"/>
          <w:lang w:eastAsia="en-ZA"/>
        </w:rPr>
        <w:t>well past</w:t>
      </w:r>
      <w:r w:rsidRPr="00E44CCE">
        <w:rPr>
          <w:rFonts w:eastAsia="Calibri" w:cs="Arial"/>
          <w:szCs w:val="24"/>
          <w:lang w:eastAsia="en-ZA"/>
        </w:rPr>
        <w:t xml:space="preserve"> and present officials in the Department of Public Enterprises (political and</w:t>
      </w:r>
      <w:r w:rsidR="00EB6DDA">
        <w:rPr>
          <w:rFonts w:eastAsia="Calibri" w:cs="Arial"/>
          <w:szCs w:val="24"/>
          <w:lang w:eastAsia="en-ZA"/>
        </w:rPr>
        <w:t xml:space="preserve"> administrative</w:t>
      </w:r>
      <w:r w:rsidR="00FB5721">
        <w:rPr>
          <w:rFonts w:eastAsia="Calibri" w:cs="Arial"/>
          <w:szCs w:val="24"/>
          <w:lang w:eastAsia="en-ZA"/>
        </w:rPr>
        <w:t xml:space="preserve"> offices</w:t>
      </w:r>
      <w:r w:rsidR="00E816FF">
        <w:rPr>
          <w:rFonts w:eastAsia="Calibri" w:cs="Arial"/>
          <w:szCs w:val="24"/>
          <w:lang w:eastAsia="en-ZA"/>
        </w:rPr>
        <w:t>)</w:t>
      </w:r>
      <w:r w:rsidR="00FB5721">
        <w:rPr>
          <w:rFonts w:eastAsia="Calibri" w:cs="Arial"/>
          <w:szCs w:val="24"/>
          <w:lang w:eastAsia="en-ZA"/>
        </w:rPr>
        <w:t>.</w:t>
      </w:r>
      <w:r w:rsidR="00897BE3">
        <w:rPr>
          <w:rFonts w:eastAsia="Calibri" w:cs="Arial"/>
          <w:szCs w:val="24"/>
          <w:lang w:eastAsia="en-ZA"/>
        </w:rPr>
        <w:t xml:space="preserve"> </w:t>
      </w:r>
      <w:r w:rsidR="00FB5721">
        <w:rPr>
          <w:rFonts w:eastAsia="Calibri" w:cs="Arial"/>
          <w:szCs w:val="24"/>
          <w:lang w:eastAsia="en-ZA"/>
        </w:rPr>
        <w:t>Among others, the work would reflect how SMS members within the Department and SOC officials may have abused their positions of authorit</w:t>
      </w:r>
      <w:r w:rsidR="00A14F13">
        <w:rPr>
          <w:rFonts w:eastAsia="Calibri" w:cs="Arial"/>
          <w:szCs w:val="24"/>
          <w:lang w:eastAsia="en-ZA"/>
        </w:rPr>
        <w:t>y to unduly benefit themselves and t</w:t>
      </w:r>
      <w:r w:rsidR="00FB5721">
        <w:rPr>
          <w:rFonts w:eastAsia="Calibri" w:cs="Arial"/>
          <w:szCs w:val="24"/>
          <w:lang w:eastAsia="en-ZA"/>
        </w:rPr>
        <w:t xml:space="preserve">heir family members through state procurement opportunities. </w:t>
      </w:r>
    </w:p>
    <w:p w:rsidR="00C71560" w:rsidRDefault="00C71560" w:rsidP="00897BE3">
      <w:pPr>
        <w:numPr>
          <w:ilvl w:val="0"/>
          <w:numId w:val="5"/>
        </w:numPr>
        <w:rPr>
          <w:rFonts w:eastAsia="Calibri" w:cs="Arial"/>
          <w:szCs w:val="24"/>
          <w:lang w:eastAsia="en-ZA"/>
        </w:rPr>
      </w:pPr>
      <w:r w:rsidRPr="00897BE3">
        <w:rPr>
          <w:rFonts w:eastAsia="Calibri" w:cs="Arial"/>
          <w:szCs w:val="24"/>
          <w:lang w:eastAsia="en-ZA"/>
        </w:rPr>
        <w:t>Among others, the outcome of the lifestyle audits will be used</w:t>
      </w:r>
      <w:r w:rsidR="00897BE3">
        <w:rPr>
          <w:rFonts w:eastAsia="Calibri" w:cs="Arial"/>
          <w:szCs w:val="24"/>
          <w:lang w:eastAsia="en-ZA"/>
        </w:rPr>
        <w:t xml:space="preserve"> to</w:t>
      </w:r>
      <w:r w:rsidRPr="00897BE3">
        <w:rPr>
          <w:rFonts w:eastAsia="Calibri" w:cs="Arial"/>
          <w:szCs w:val="24"/>
          <w:lang w:eastAsia="en-ZA"/>
        </w:rPr>
        <w:t>:</w:t>
      </w:r>
    </w:p>
    <w:p w:rsidR="00897BE3" w:rsidRPr="00897BE3" w:rsidRDefault="00897BE3" w:rsidP="00897BE3">
      <w:pPr>
        <w:ind w:left="1080"/>
        <w:jc w:val="both"/>
        <w:rPr>
          <w:rFonts w:eastAsia="Calibri" w:cs="Arial"/>
          <w:szCs w:val="24"/>
          <w:lang w:eastAsia="en-ZA"/>
        </w:rPr>
      </w:pPr>
    </w:p>
    <w:p w:rsidR="00897BE3" w:rsidRPr="00897BE3" w:rsidRDefault="00C71560" w:rsidP="00897BE3">
      <w:pPr>
        <w:pStyle w:val="ListParagraph"/>
        <w:numPr>
          <w:ilvl w:val="0"/>
          <w:numId w:val="11"/>
        </w:numPr>
        <w:rPr>
          <w:rFonts w:ascii="Arial" w:eastAsia="Calibri" w:hAnsi="Arial" w:cs="Arial"/>
          <w:sz w:val="24"/>
          <w:szCs w:val="24"/>
          <w:lang w:eastAsia="en-ZA"/>
        </w:rPr>
      </w:pPr>
      <w:r w:rsidRPr="00897BE3">
        <w:rPr>
          <w:rFonts w:ascii="Arial" w:eastAsia="Calibri" w:hAnsi="Arial" w:cs="Arial"/>
          <w:sz w:val="24"/>
          <w:szCs w:val="24"/>
          <w:lang w:eastAsia="en-ZA"/>
        </w:rPr>
        <w:t>hold accountable those who unduly benefitted from the state’s resources and procurement opportunities;</w:t>
      </w:r>
    </w:p>
    <w:p w:rsidR="00897BE3" w:rsidRPr="00897BE3" w:rsidRDefault="00C71560" w:rsidP="00897BE3">
      <w:pPr>
        <w:pStyle w:val="ListParagraph"/>
        <w:numPr>
          <w:ilvl w:val="0"/>
          <w:numId w:val="11"/>
        </w:numPr>
        <w:rPr>
          <w:rFonts w:ascii="Arial" w:eastAsia="Calibri" w:hAnsi="Arial" w:cs="Arial"/>
          <w:sz w:val="24"/>
          <w:szCs w:val="24"/>
          <w:lang w:eastAsia="en-ZA"/>
        </w:rPr>
      </w:pPr>
      <w:r w:rsidRPr="00897BE3">
        <w:rPr>
          <w:rFonts w:ascii="Arial" w:eastAsia="Calibri" w:hAnsi="Arial" w:cs="Arial"/>
          <w:sz w:val="24"/>
          <w:szCs w:val="24"/>
          <w:lang w:eastAsia="en-ZA"/>
        </w:rPr>
        <w:t xml:space="preserve">enhance procurement governance practices within the Department and the SOCs; and </w:t>
      </w:r>
    </w:p>
    <w:p w:rsidR="00C71560" w:rsidRPr="00897BE3" w:rsidRDefault="00C71560" w:rsidP="00897BE3">
      <w:pPr>
        <w:pStyle w:val="ListParagraph"/>
        <w:numPr>
          <w:ilvl w:val="0"/>
          <w:numId w:val="11"/>
        </w:numPr>
        <w:rPr>
          <w:rFonts w:ascii="Arial" w:eastAsia="Calibri" w:hAnsi="Arial" w:cs="Arial"/>
          <w:sz w:val="24"/>
          <w:szCs w:val="24"/>
          <w:lang w:eastAsia="en-ZA"/>
        </w:rPr>
      </w:pPr>
      <w:r w:rsidRPr="00897BE3">
        <w:rPr>
          <w:rFonts w:ascii="Arial" w:eastAsia="Calibri" w:hAnsi="Arial" w:cs="Arial"/>
          <w:sz w:val="24"/>
          <w:szCs w:val="24"/>
          <w:lang w:eastAsia="en-ZA"/>
        </w:rPr>
        <w:t xml:space="preserve">recover monies the state lost as a result of the abuse of resources by those entrusted with positions authority. </w:t>
      </w:r>
    </w:p>
    <w:p w:rsidR="00C71560" w:rsidRPr="00C71560" w:rsidRDefault="00C71560" w:rsidP="00C71560">
      <w:pPr>
        <w:ind w:left="360"/>
        <w:jc w:val="both"/>
        <w:rPr>
          <w:rFonts w:eastAsia="Calibri" w:cs="Arial"/>
          <w:szCs w:val="24"/>
          <w:lang w:eastAsia="en-ZA"/>
        </w:rPr>
      </w:pPr>
    </w:p>
    <w:p w:rsidR="00E44CCE" w:rsidRPr="00C71560" w:rsidRDefault="00897BE3" w:rsidP="00897BE3">
      <w:pPr>
        <w:ind w:left="709" w:hanging="709"/>
        <w:rPr>
          <w:rFonts w:eastAsia="Calibri"/>
          <w:lang w:eastAsia="en-ZA"/>
        </w:rPr>
      </w:pPr>
      <w:r>
        <w:rPr>
          <w:rFonts w:eastAsia="Calibri"/>
          <w:lang w:eastAsia="en-ZA"/>
        </w:rPr>
        <w:t>2.</w:t>
      </w:r>
      <w:r>
        <w:rPr>
          <w:rFonts w:eastAsia="Calibri"/>
          <w:lang w:eastAsia="en-ZA"/>
        </w:rPr>
        <w:tab/>
      </w:r>
      <w:r w:rsidR="00E44CCE" w:rsidRPr="00C71560">
        <w:rPr>
          <w:rFonts w:eastAsia="Calibri"/>
          <w:lang w:eastAsia="en-ZA"/>
        </w:rPr>
        <w:t xml:space="preserve">Disclosure of the results of the lifestyle audits will be dealt in line with the law of the country. Furthermore, relevant findings that would not undermine efforts such pursuit of criminal proceedings will be made public as that can only assist in fostering an accountable state as envisioned in the Constitution of the Republic of South Africa and the National Development Plan. </w:t>
      </w:r>
    </w:p>
    <w:p w:rsidR="00E44CCE" w:rsidRPr="00ED581B" w:rsidRDefault="00E44CCE" w:rsidP="003F0D68">
      <w:pPr>
        <w:jc w:val="both"/>
        <w:rPr>
          <w:rFonts w:eastAsia="Calibri" w:cs="Arial"/>
          <w:szCs w:val="24"/>
          <w:lang w:eastAsia="en-ZA"/>
        </w:rPr>
      </w:pP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547"/>
        <w:gridCol w:w="547"/>
        <w:gridCol w:w="1292"/>
        <w:gridCol w:w="3692"/>
      </w:tblGrid>
      <w:tr w:rsidR="00AA5CBF" w:rsidRPr="004D116D" w:rsidTr="005628F3">
        <w:trPr>
          <w:trHeight w:val="871"/>
        </w:trPr>
        <w:tc>
          <w:tcPr>
            <w:tcW w:w="3284" w:type="dxa"/>
          </w:tcPr>
          <w:p w:rsidR="00AA5CBF" w:rsidRPr="004D116D" w:rsidRDefault="00AA5CBF" w:rsidP="00D504C0">
            <w:pPr>
              <w:rPr>
                <w:rFonts w:cs="Arial"/>
                <w:b/>
                <w:snapToGrid w:val="0"/>
                <w:szCs w:val="24"/>
              </w:rPr>
            </w:pPr>
          </w:p>
        </w:tc>
        <w:tc>
          <w:tcPr>
            <w:tcW w:w="547" w:type="dxa"/>
          </w:tcPr>
          <w:p w:rsidR="00AA5CBF" w:rsidRPr="004D116D" w:rsidRDefault="00AA5CBF" w:rsidP="00D504C0">
            <w:pPr>
              <w:rPr>
                <w:rFonts w:cs="Arial"/>
                <w:b/>
                <w:snapToGrid w:val="0"/>
                <w:szCs w:val="24"/>
              </w:rPr>
            </w:pPr>
          </w:p>
        </w:tc>
        <w:tc>
          <w:tcPr>
            <w:tcW w:w="547" w:type="dxa"/>
          </w:tcPr>
          <w:p w:rsidR="00AA5CBF" w:rsidRPr="004D116D" w:rsidRDefault="00AA5CBF" w:rsidP="00D504C0">
            <w:pPr>
              <w:rPr>
                <w:rFonts w:cs="Arial"/>
                <w:b/>
                <w:snapToGrid w:val="0"/>
                <w:szCs w:val="24"/>
              </w:rPr>
            </w:pPr>
          </w:p>
        </w:tc>
        <w:tc>
          <w:tcPr>
            <w:tcW w:w="4984" w:type="dxa"/>
            <w:gridSpan w:val="2"/>
          </w:tcPr>
          <w:p w:rsidR="00AA5CBF" w:rsidRPr="004D116D" w:rsidRDefault="00AA5CBF" w:rsidP="00D504C0">
            <w:pPr>
              <w:rPr>
                <w:rFonts w:cs="Arial"/>
                <w:b/>
                <w:snapToGrid w:val="0"/>
                <w:szCs w:val="24"/>
              </w:rPr>
            </w:pPr>
          </w:p>
        </w:tc>
      </w:tr>
      <w:tr w:rsidR="005628F3" w:rsidRPr="004D116D" w:rsidTr="005628F3">
        <w:trPr>
          <w:trHeight w:val="382"/>
        </w:trPr>
        <w:tc>
          <w:tcPr>
            <w:tcW w:w="3831" w:type="dxa"/>
            <w:gridSpan w:val="2"/>
            <w:vMerge w:val="restart"/>
            <w:tcBorders>
              <w:top w:val="single" w:sz="4" w:space="0" w:color="auto"/>
            </w:tcBorders>
          </w:tcPr>
          <w:p w:rsidR="005628F3" w:rsidRPr="004D116D" w:rsidRDefault="005628F3" w:rsidP="00D504C0">
            <w:pPr>
              <w:spacing w:line="360" w:lineRule="auto"/>
              <w:rPr>
                <w:rFonts w:cs="Arial"/>
                <w:b/>
                <w:snapToGrid w:val="0"/>
                <w:szCs w:val="24"/>
              </w:rPr>
            </w:pPr>
          </w:p>
        </w:tc>
        <w:tc>
          <w:tcPr>
            <w:tcW w:w="547" w:type="dxa"/>
          </w:tcPr>
          <w:p w:rsidR="005628F3" w:rsidRPr="004D116D" w:rsidRDefault="005628F3" w:rsidP="00D504C0">
            <w:pPr>
              <w:spacing w:line="360" w:lineRule="auto"/>
              <w:rPr>
                <w:rFonts w:cs="Arial"/>
                <w:b/>
                <w:snapToGrid w:val="0"/>
                <w:szCs w:val="24"/>
              </w:rPr>
            </w:pPr>
          </w:p>
        </w:tc>
        <w:tc>
          <w:tcPr>
            <w:tcW w:w="1292" w:type="dxa"/>
          </w:tcPr>
          <w:p w:rsidR="005628F3" w:rsidRPr="004D116D" w:rsidRDefault="005628F3" w:rsidP="005628F3">
            <w:pPr>
              <w:spacing w:line="360" w:lineRule="auto"/>
              <w:rPr>
                <w:rFonts w:cs="Arial"/>
                <w:b/>
                <w:snapToGrid w:val="0"/>
                <w:szCs w:val="24"/>
              </w:rPr>
            </w:pPr>
          </w:p>
        </w:tc>
        <w:tc>
          <w:tcPr>
            <w:tcW w:w="3692" w:type="dxa"/>
            <w:vMerge w:val="restart"/>
            <w:tcBorders>
              <w:top w:val="single" w:sz="4" w:space="0" w:color="auto"/>
            </w:tcBorders>
          </w:tcPr>
          <w:p w:rsidR="005628F3" w:rsidRPr="004D116D" w:rsidRDefault="005628F3" w:rsidP="00C94A8D">
            <w:pPr>
              <w:spacing w:line="360" w:lineRule="auto"/>
              <w:rPr>
                <w:rFonts w:cs="Arial"/>
                <w:b/>
                <w:snapToGrid w:val="0"/>
                <w:szCs w:val="24"/>
              </w:rPr>
            </w:pPr>
          </w:p>
        </w:tc>
      </w:tr>
      <w:tr w:rsidR="005628F3" w:rsidRPr="004D116D" w:rsidTr="005628F3">
        <w:trPr>
          <w:trHeight w:val="382"/>
        </w:trPr>
        <w:tc>
          <w:tcPr>
            <w:tcW w:w="3831" w:type="dxa"/>
            <w:gridSpan w:val="2"/>
            <w:vMerge/>
          </w:tcPr>
          <w:p w:rsidR="005628F3" w:rsidRPr="004D116D" w:rsidRDefault="005628F3" w:rsidP="00D504C0">
            <w:pPr>
              <w:spacing w:line="360" w:lineRule="auto"/>
              <w:rPr>
                <w:rFonts w:cs="Arial"/>
                <w:b/>
                <w:snapToGrid w:val="0"/>
                <w:szCs w:val="24"/>
              </w:rPr>
            </w:pPr>
          </w:p>
        </w:tc>
        <w:tc>
          <w:tcPr>
            <w:tcW w:w="547" w:type="dxa"/>
          </w:tcPr>
          <w:p w:rsidR="005628F3" w:rsidRPr="004D116D" w:rsidRDefault="005628F3" w:rsidP="00D504C0">
            <w:pPr>
              <w:spacing w:line="360" w:lineRule="auto"/>
              <w:rPr>
                <w:rFonts w:cs="Arial"/>
                <w:b/>
                <w:snapToGrid w:val="0"/>
                <w:szCs w:val="24"/>
              </w:rPr>
            </w:pPr>
          </w:p>
        </w:tc>
        <w:tc>
          <w:tcPr>
            <w:tcW w:w="1292" w:type="dxa"/>
          </w:tcPr>
          <w:p w:rsidR="005628F3" w:rsidRDefault="005628F3" w:rsidP="005628F3">
            <w:pPr>
              <w:spacing w:line="360" w:lineRule="auto"/>
              <w:ind w:firstLine="582"/>
              <w:rPr>
                <w:rFonts w:cs="Arial"/>
                <w:b/>
                <w:snapToGrid w:val="0"/>
                <w:szCs w:val="24"/>
              </w:rPr>
            </w:pPr>
          </w:p>
          <w:p w:rsidR="005628F3" w:rsidRPr="004D116D" w:rsidRDefault="005628F3" w:rsidP="005628F3">
            <w:pPr>
              <w:spacing w:line="360" w:lineRule="auto"/>
              <w:ind w:firstLine="582"/>
              <w:rPr>
                <w:rFonts w:cs="Arial"/>
                <w:b/>
                <w:snapToGrid w:val="0"/>
                <w:szCs w:val="24"/>
              </w:rPr>
            </w:pPr>
          </w:p>
        </w:tc>
        <w:tc>
          <w:tcPr>
            <w:tcW w:w="3692" w:type="dxa"/>
            <w:vMerge/>
          </w:tcPr>
          <w:p w:rsidR="005628F3" w:rsidRPr="004D116D" w:rsidRDefault="005628F3" w:rsidP="005628F3">
            <w:pPr>
              <w:spacing w:line="360" w:lineRule="auto"/>
              <w:ind w:firstLine="582"/>
              <w:rPr>
                <w:rFonts w:cs="Arial"/>
                <w:b/>
                <w:snapToGrid w:val="0"/>
                <w:szCs w:val="24"/>
              </w:rPr>
            </w:pPr>
          </w:p>
        </w:tc>
      </w:tr>
    </w:tbl>
    <w:p w:rsidR="00EB2231" w:rsidRDefault="00EB2231" w:rsidP="00897BE3"/>
    <w:sectPr w:rsidR="00EB2231" w:rsidSect="00310951">
      <w:headerReference w:type="even" r:id="rId8"/>
      <w:headerReference w:type="default" r:id="rId9"/>
      <w:footerReference w:type="default" r:id="rId10"/>
      <w:footerReference w:type="first" r:id="rId11"/>
      <w:pgSz w:w="11906" w:h="16838" w:code="9"/>
      <w:pgMar w:top="397" w:right="1134" w:bottom="284" w:left="993"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A1" w:rsidRDefault="002917A1">
      <w:r>
        <w:separator/>
      </w:r>
    </w:p>
  </w:endnote>
  <w:endnote w:type="continuationSeparator" w:id="0">
    <w:p w:rsidR="002917A1" w:rsidRDefault="00291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Content>
          <w:p w:rsidR="00740B1C" w:rsidRPr="003E058D" w:rsidRDefault="005628F3">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00A5613E" w:rsidRPr="003E058D">
              <w:rPr>
                <w:bCs/>
                <w:sz w:val="16"/>
                <w:szCs w:val="24"/>
              </w:rPr>
              <w:fldChar w:fldCharType="begin"/>
            </w:r>
            <w:r w:rsidRPr="003E058D">
              <w:rPr>
                <w:bCs/>
                <w:sz w:val="16"/>
              </w:rPr>
              <w:instrText xml:space="preserve"> PAGE </w:instrText>
            </w:r>
            <w:r w:rsidR="00A5613E" w:rsidRPr="003E058D">
              <w:rPr>
                <w:bCs/>
                <w:sz w:val="16"/>
                <w:szCs w:val="24"/>
              </w:rPr>
              <w:fldChar w:fldCharType="separate"/>
            </w:r>
            <w:r w:rsidR="002917A1">
              <w:rPr>
                <w:bCs/>
                <w:noProof/>
                <w:sz w:val="16"/>
              </w:rPr>
              <w:t>1</w:t>
            </w:r>
            <w:r w:rsidR="00A5613E" w:rsidRPr="003E058D">
              <w:rPr>
                <w:bCs/>
                <w:sz w:val="16"/>
                <w:szCs w:val="24"/>
              </w:rPr>
              <w:fldChar w:fldCharType="end"/>
            </w:r>
            <w:r w:rsidRPr="003E058D">
              <w:rPr>
                <w:sz w:val="16"/>
              </w:rPr>
              <w:t xml:space="preserve"> of </w:t>
            </w:r>
            <w:r w:rsidR="00A5613E" w:rsidRPr="003E058D">
              <w:rPr>
                <w:bCs/>
                <w:sz w:val="16"/>
                <w:szCs w:val="24"/>
              </w:rPr>
              <w:fldChar w:fldCharType="begin"/>
            </w:r>
            <w:r w:rsidRPr="003E058D">
              <w:rPr>
                <w:bCs/>
                <w:sz w:val="16"/>
              </w:rPr>
              <w:instrText xml:space="preserve"> NUMPAGES  </w:instrText>
            </w:r>
            <w:r w:rsidR="00A5613E" w:rsidRPr="003E058D">
              <w:rPr>
                <w:bCs/>
                <w:sz w:val="16"/>
                <w:szCs w:val="24"/>
              </w:rPr>
              <w:fldChar w:fldCharType="separate"/>
            </w:r>
            <w:r w:rsidR="002917A1">
              <w:rPr>
                <w:bCs/>
                <w:noProof/>
                <w:sz w:val="16"/>
              </w:rPr>
              <w:t>1</w:t>
            </w:r>
            <w:r w:rsidR="00A5613E" w:rsidRPr="003E058D">
              <w:rPr>
                <w:bCs/>
                <w:sz w:val="16"/>
                <w:szCs w:val="24"/>
              </w:rPr>
              <w:fldChar w:fldCharType="end"/>
            </w:r>
          </w:p>
        </w:sdtContent>
      </w:sdt>
    </w:sdtContent>
  </w:sdt>
  <w:p w:rsidR="00740B1C" w:rsidRPr="00A27D60" w:rsidRDefault="002917A1" w:rsidP="00740B1C">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534251"/>
      <w:docPartObj>
        <w:docPartGallery w:val="Page Numbers (Bottom of Page)"/>
        <w:docPartUnique/>
      </w:docPartObj>
    </w:sdtPr>
    <w:sdtContent>
      <w:sdt>
        <w:sdtPr>
          <w:id w:val="860082579"/>
          <w:docPartObj>
            <w:docPartGallery w:val="Page Numbers (Top of Page)"/>
            <w:docPartUnique/>
          </w:docPartObj>
        </w:sdtPr>
        <w:sdtContent>
          <w:p w:rsidR="00740B1C" w:rsidRDefault="005628F3" w:rsidP="00740B1C">
            <w:pPr>
              <w:pStyle w:val="Footer"/>
              <w:jc w:val="right"/>
            </w:pPr>
            <w:r w:rsidRPr="008F59C5">
              <w:rPr>
                <w:sz w:val="16"/>
                <w:szCs w:val="16"/>
              </w:rPr>
              <w:t xml:space="preserve">Page </w:t>
            </w:r>
            <w:r w:rsidR="00A5613E" w:rsidRPr="008F59C5">
              <w:rPr>
                <w:bCs/>
                <w:sz w:val="16"/>
                <w:szCs w:val="16"/>
              </w:rPr>
              <w:fldChar w:fldCharType="begin"/>
            </w:r>
            <w:r w:rsidRPr="008F59C5">
              <w:rPr>
                <w:bCs/>
                <w:sz w:val="16"/>
                <w:szCs w:val="16"/>
              </w:rPr>
              <w:instrText xml:space="preserve"> PAGE </w:instrText>
            </w:r>
            <w:r w:rsidR="00A5613E" w:rsidRPr="008F59C5">
              <w:rPr>
                <w:bCs/>
                <w:sz w:val="16"/>
                <w:szCs w:val="16"/>
              </w:rPr>
              <w:fldChar w:fldCharType="separate"/>
            </w:r>
            <w:r>
              <w:rPr>
                <w:bCs/>
                <w:noProof/>
                <w:sz w:val="16"/>
                <w:szCs w:val="16"/>
              </w:rPr>
              <w:t>1</w:t>
            </w:r>
            <w:r w:rsidR="00A5613E" w:rsidRPr="008F59C5">
              <w:rPr>
                <w:bCs/>
                <w:sz w:val="16"/>
                <w:szCs w:val="16"/>
              </w:rPr>
              <w:fldChar w:fldCharType="end"/>
            </w:r>
            <w:r w:rsidRPr="008F59C5">
              <w:rPr>
                <w:sz w:val="16"/>
                <w:szCs w:val="16"/>
              </w:rPr>
              <w:t xml:space="preserve"> of </w:t>
            </w:r>
            <w:r w:rsidR="00A5613E" w:rsidRPr="008F59C5">
              <w:rPr>
                <w:bCs/>
                <w:sz w:val="16"/>
                <w:szCs w:val="16"/>
              </w:rPr>
              <w:fldChar w:fldCharType="begin"/>
            </w:r>
            <w:r w:rsidRPr="008F59C5">
              <w:rPr>
                <w:bCs/>
                <w:sz w:val="16"/>
                <w:szCs w:val="16"/>
              </w:rPr>
              <w:instrText xml:space="preserve"> NUMPAGES  </w:instrText>
            </w:r>
            <w:r w:rsidR="00A5613E" w:rsidRPr="008F59C5">
              <w:rPr>
                <w:bCs/>
                <w:sz w:val="16"/>
                <w:szCs w:val="16"/>
              </w:rPr>
              <w:fldChar w:fldCharType="separate"/>
            </w:r>
            <w:r w:rsidR="00E7261D">
              <w:rPr>
                <w:bCs/>
                <w:noProof/>
                <w:sz w:val="16"/>
                <w:szCs w:val="16"/>
              </w:rPr>
              <w:t>2</w:t>
            </w:r>
            <w:r w:rsidR="00A5613E" w:rsidRPr="008F59C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A1" w:rsidRDefault="002917A1">
      <w:r>
        <w:separator/>
      </w:r>
    </w:p>
  </w:footnote>
  <w:footnote w:type="continuationSeparator" w:id="0">
    <w:p w:rsidR="002917A1" w:rsidRDefault="00291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1C" w:rsidRDefault="005628F3">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1C" w:rsidRDefault="002917A1">
    <w:pPr>
      <w:jc w:val="center"/>
      <w:rPr>
        <w:sz w:val="16"/>
      </w:rPr>
    </w:pPr>
  </w:p>
  <w:p w:rsidR="00325081" w:rsidRDefault="00325081">
    <w:pPr>
      <w:jc w:val="center"/>
      <w:rPr>
        <w:sz w:val="16"/>
      </w:rPr>
    </w:pPr>
  </w:p>
  <w:p w:rsidR="00325081" w:rsidRDefault="00325081">
    <w:pPr>
      <w:jc w:val="center"/>
      <w:rPr>
        <w:sz w:val="16"/>
      </w:rPr>
    </w:pPr>
  </w:p>
  <w:p w:rsidR="00325081" w:rsidRDefault="00325081">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6E24"/>
    <w:multiLevelType w:val="hybridMultilevel"/>
    <w:tmpl w:val="EDE29670"/>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F26C41"/>
    <w:multiLevelType w:val="hybridMultilevel"/>
    <w:tmpl w:val="0CB4D5B2"/>
    <w:lvl w:ilvl="0" w:tplc="90D02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83386"/>
    <w:multiLevelType w:val="hybridMultilevel"/>
    <w:tmpl w:val="82C2C31A"/>
    <w:lvl w:ilvl="0" w:tplc="5C3CC57C">
      <w:start w:val="1"/>
      <w:numFmt w:val="lowerRoman"/>
      <w:lvlText w:val="(%1)"/>
      <w:lvlJc w:val="left"/>
      <w:pPr>
        <w:ind w:left="1620" w:hanging="360"/>
      </w:pPr>
      <w:rPr>
        <w:rFonts w:ascii="Times New Roman" w:eastAsia="Calibri" w:hAnsi="Times New Roman" w:cs="Times New Roman"/>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7264072"/>
    <w:multiLevelType w:val="hybridMultilevel"/>
    <w:tmpl w:val="2D047FA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34501CD4"/>
    <w:multiLevelType w:val="hybridMultilevel"/>
    <w:tmpl w:val="4AA65942"/>
    <w:lvl w:ilvl="0" w:tplc="F466A506">
      <w:start w:val="2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B30DB"/>
    <w:multiLevelType w:val="hybridMultilevel"/>
    <w:tmpl w:val="41AAA34A"/>
    <w:lvl w:ilvl="0" w:tplc="BF14F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6183C"/>
    <w:multiLevelType w:val="hybridMultilevel"/>
    <w:tmpl w:val="CE0E8E2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5B7A2A09"/>
    <w:multiLevelType w:val="hybridMultilevel"/>
    <w:tmpl w:val="AD0E7CF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6E272251"/>
    <w:multiLevelType w:val="hybridMultilevel"/>
    <w:tmpl w:val="737E1ED2"/>
    <w:lvl w:ilvl="0" w:tplc="4CBC5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D29E9"/>
    <w:multiLevelType w:val="hybridMultilevel"/>
    <w:tmpl w:val="36B090C6"/>
    <w:lvl w:ilvl="0" w:tplc="1C090001">
      <w:start w:val="1"/>
      <w:numFmt w:val="bullet"/>
      <w:lvlText w:val=""/>
      <w:lvlJc w:val="left"/>
      <w:pPr>
        <w:ind w:left="1872" w:hanging="360"/>
      </w:pPr>
      <w:rPr>
        <w:rFonts w:ascii="Symbol" w:hAnsi="Symbol" w:hint="default"/>
      </w:rPr>
    </w:lvl>
    <w:lvl w:ilvl="1" w:tplc="1C090003" w:tentative="1">
      <w:start w:val="1"/>
      <w:numFmt w:val="bullet"/>
      <w:lvlText w:val="o"/>
      <w:lvlJc w:val="left"/>
      <w:pPr>
        <w:ind w:left="2592" w:hanging="360"/>
      </w:pPr>
      <w:rPr>
        <w:rFonts w:ascii="Courier New" w:hAnsi="Courier New" w:cs="Courier New" w:hint="default"/>
      </w:rPr>
    </w:lvl>
    <w:lvl w:ilvl="2" w:tplc="1C090005" w:tentative="1">
      <w:start w:val="1"/>
      <w:numFmt w:val="bullet"/>
      <w:lvlText w:val=""/>
      <w:lvlJc w:val="left"/>
      <w:pPr>
        <w:ind w:left="3312" w:hanging="360"/>
      </w:pPr>
      <w:rPr>
        <w:rFonts w:ascii="Wingdings" w:hAnsi="Wingdings" w:hint="default"/>
      </w:rPr>
    </w:lvl>
    <w:lvl w:ilvl="3" w:tplc="1C090001" w:tentative="1">
      <w:start w:val="1"/>
      <w:numFmt w:val="bullet"/>
      <w:lvlText w:val=""/>
      <w:lvlJc w:val="left"/>
      <w:pPr>
        <w:ind w:left="4032" w:hanging="360"/>
      </w:pPr>
      <w:rPr>
        <w:rFonts w:ascii="Symbol" w:hAnsi="Symbol" w:hint="default"/>
      </w:rPr>
    </w:lvl>
    <w:lvl w:ilvl="4" w:tplc="1C090003" w:tentative="1">
      <w:start w:val="1"/>
      <w:numFmt w:val="bullet"/>
      <w:lvlText w:val="o"/>
      <w:lvlJc w:val="left"/>
      <w:pPr>
        <w:ind w:left="4752" w:hanging="360"/>
      </w:pPr>
      <w:rPr>
        <w:rFonts w:ascii="Courier New" w:hAnsi="Courier New" w:cs="Courier New" w:hint="default"/>
      </w:rPr>
    </w:lvl>
    <w:lvl w:ilvl="5" w:tplc="1C090005" w:tentative="1">
      <w:start w:val="1"/>
      <w:numFmt w:val="bullet"/>
      <w:lvlText w:val=""/>
      <w:lvlJc w:val="left"/>
      <w:pPr>
        <w:ind w:left="5472" w:hanging="360"/>
      </w:pPr>
      <w:rPr>
        <w:rFonts w:ascii="Wingdings" w:hAnsi="Wingdings" w:hint="default"/>
      </w:rPr>
    </w:lvl>
    <w:lvl w:ilvl="6" w:tplc="1C090001" w:tentative="1">
      <w:start w:val="1"/>
      <w:numFmt w:val="bullet"/>
      <w:lvlText w:val=""/>
      <w:lvlJc w:val="left"/>
      <w:pPr>
        <w:ind w:left="6192" w:hanging="360"/>
      </w:pPr>
      <w:rPr>
        <w:rFonts w:ascii="Symbol" w:hAnsi="Symbol" w:hint="default"/>
      </w:rPr>
    </w:lvl>
    <w:lvl w:ilvl="7" w:tplc="1C090003" w:tentative="1">
      <w:start w:val="1"/>
      <w:numFmt w:val="bullet"/>
      <w:lvlText w:val="o"/>
      <w:lvlJc w:val="left"/>
      <w:pPr>
        <w:ind w:left="6912" w:hanging="360"/>
      </w:pPr>
      <w:rPr>
        <w:rFonts w:ascii="Courier New" w:hAnsi="Courier New" w:cs="Courier New" w:hint="default"/>
      </w:rPr>
    </w:lvl>
    <w:lvl w:ilvl="8" w:tplc="1C090005" w:tentative="1">
      <w:start w:val="1"/>
      <w:numFmt w:val="bullet"/>
      <w:lvlText w:val=""/>
      <w:lvlJc w:val="left"/>
      <w:pPr>
        <w:ind w:left="7632" w:hanging="360"/>
      </w:pPr>
      <w:rPr>
        <w:rFonts w:ascii="Wingdings" w:hAnsi="Wingdings" w:hint="default"/>
      </w:rPr>
    </w:lvl>
  </w:abstractNum>
  <w:abstractNum w:abstractNumId="10">
    <w:nsid w:val="73DE66A6"/>
    <w:multiLevelType w:val="hybridMultilevel"/>
    <w:tmpl w:val="63A06C2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5"/>
  </w:num>
  <w:num w:numId="6">
    <w:abstractNumId w:val="0"/>
  </w:num>
  <w:num w:numId="7">
    <w:abstractNumId w:val="9"/>
  </w:num>
  <w:num w:numId="8">
    <w:abstractNumId w:val="3"/>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AA5CBF"/>
    <w:rsid w:val="00047DF8"/>
    <w:rsid w:val="000A6D84"/>
    <w:rsid w:val="000D5DC2"/>
    <w:rsid w:val="001107D9"/>
    <w:rsid w:val="002049B7"/>
    <w:rsid w:val="00227733"/>
    <w:rsid w:val="002917A1"/>
    <w:rsid w:val="00325081"/>
    <w:rsid w:val="00377AF9"/>
    <w:rsid w:val="003F0D68"/>
    <w:rsid w:val="004A25C3"/>
    <w:rsid w:val="004B25A4"/>
    <w:rsid w:val="005628F3"/>
    <w:rsid w:val="0068038E"/>
    <w:rsid w:val="006F6C49"/>
    <w:rsid w:val="006F6DF3"/>
    <w:rsid w:val="00705586"/>
    <w:rsid w:val="00720B50"/>
    <w:rsid w:val="00764C4E"/>
    <w:rsid w:val="008154F5"/>
    <w:rsid w:val="008563C1"/>
    <w:rsid w:val="00897BE3"/>
    <w:rsid w:val="008C5528"/>
    <w:rsid w:val="008D0536"/>
    <w:rsid w:val="00A14F13"/>
    <w:rsid w:val="00A42899"/>
    <w:rsid w:val="00A5613E"/>
    <w:rsid w:val="00A83E43"/>
    <w:rsid w:val="00AA5CBF"/>
    <w:rsid w:val="00AE62DD"/>
    <w:rsid w:val="00C03085"/>
    <w:rsid w:val="00C353A6"/>
    <w:rsid w:val="00C71560"/>
    <w:rsid w:val="00C94A8D"/>
    <w:rsid w:val="00D123FE"/>
    <w:rsid w:val="00D43267"/>
    <w:rsid w:val="00DD21C7"/>
    <w:rsid w:val="00E44CCE"/>
    <w:rsid w:val="00E7261D"/>
    <w:rsid w:val="00E816FF"/>
    <w:rsid w:val="00EB2231"/>
    <w:rsid w:val="00EB6DDA"/>
    <w:rsid w:val="00ED581B"/>
    <w:rsid w:val="00FB5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BF"/>
    <w:pPr>
      <w:spacing w:after="0" w:line="240" w:lineRule="auto"/>
    </w:pPr>
    <w:rPr>
      <w:rFonts w:ascii="Arial" w:eastAsia="Times New Roman" w:hAnsi="Arial" w:cs="Times New Roman"/>
      <w:color w:val="000000"/>
      <w:sz w:val="24"/>
      <w:szCs w:val="20"/>
      <w:lang w:eastAsia="en-GB"/>
    </w:rPr>
  </w:style>
  <w:style w:type="paragraph" w:styleId="Heading1">
    <w:name w:val="heading 1"/>
    <w:basedOn w:val="Normal"/>
    <w:next w:val="Normal"/>
    <w:link w:val="Heading1Char"/>
    <w:qFormat/>
    <w:rsid w:val="00C94A8D"/>
    <w:pPr>
      <w:keepNext/>
      <w:spacing w:line="312" w:lineRule="auto"/>
      <w:ind w:left="540"/>
      <w:outlineLvl w:val="0"/>
    </w:pPr>
    <w:rPr>
      <w:rFonts w:cs="Arial"/>
      <w:b/>
      <w:bCs/>
      <w:color w:val="auto"/>
      <w:szCs w:val="24"/>
      <w:lang w:eastAsia="en-US"/>
    </w:rPr>
  </w:style>
  <w:style w:type="paragraph" w:styleId="Heading2">
    <w:name w:val="heading 2"/>
    <w:basedOn w:val="Normal"/>
    <w:next w:val="Normal"/>
    <w:link w:val="Heading2Char"/>
    <w:qFormat/>
    <w:rsid w:val="00C94A8D"/>
    <w:pPr>
      <w:keepNext/>
      <w:spacing w:line="312" w:lineRule="auto"/>
      <w:ind w:left="851"/>
      <w:outlineLvl w:val="1"/>
    </w:pPr>
    <w:rPr>
      <w:rFonts w:eastAsia="SimSun" w:cs="Arial"/>
      <w:b/>
      <w:bCs/>
      <w:color w:val="auto"/>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BF"/>
    <w:pPr>
      <w:spacing w:line="360" w:lineRule="auto"/>
      <w:ind w:left="720"/>
      <w:jc w:val="both"/>
    </w:pPr>
    <w:rPr>
      <w:rFonts w:ascii="Times New Roman" w:hAnsi="Times New Roman"/>
      <w:color w:val="auto"/>
      <w:sz w:val="20"/>
      <w:lang w:val="en-GB" w:eastAsia="en-US"/>
    </w:rPr>
  </w:style>
  <w:style w:type="paragraph" w:styleId="Footer">
    <w:name w:val="footer"/>
    <w:basedOn w:val="Normal"/>
    <w:link w:val="FooterChar"/>
    <w:uiPriority w:val="99"/>
    <w:unhideWhenUsed/>
    <w:rsid w:val="00AA5CBF"/>
    <w:pPr>
      <w:tabs>
        <w:tab w:val="center" w:pos="4513"/>
        <w:tab w:val="right" w:pos="9026"/>
      </w:tabs>
    </w:pPr>
  </w:style>
  <w:style w:type="character" w:customStyle="1" w:styleId="FooterChar">
    <w:name w:val="Footer Char"/>
    <w:basedOn w:val="DefaultParagraphFont"/>
    <w:link w:val="Footer"/>
    <w:uiPriority w:val="99"/>
    <w:rsid w:val="00AA5CBF"/>
    <w:rPr>
      <w:rFonts w:ascii="Arial" w:eastAsia="Times New Roman" w:hAnsi="Arial" w:cs="Times New Roman"/>
      <w:color w:val="000000"/>
      <w:sz w:val="24"/>
      <w:szCs w:val="20"/>
      <w:lang w:eastAsia="en-GB"/>
    </w:rPr>
  </w:style>
  <w:style w:type="table" w:styleId="TableGrid">
    <w:name w:val="Table Grid"/>
    <w:basedOn w:val="TableNormal"/>
    <w:uiPriority w:val="59"/>
    <w:rsid w:val="00AA5CB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5CBF"/>
    <w:pPr>
      <w:spacing w:after="200" w:line="276" w:lineRule="auto"/>
    </w:pPr>
    <w:rPr>
      <w:rFonts w:ascii="Times New Roman" w:eastAsiaTheme="minorHAnsi" w:hAnsi="Times New Roman"/>
      <w:color w:val="auto"/>
      <w:szCs w:val="24"/>
      <w:lang w:val="en-GB" w:eastAsia="en-US"/>
    </w:rPr>
  </w:style>
  <w:style w:type="character" w:customStyle="1" w:styleId="Heading1Char">
    <w:name w:val="Heading 1 Char"/>
    <w:basedOn w:val="DefaultParagraphFont"/>
    <w:link w:val="Heading1"/>
    <w:rsid w:val="00C94A8D"/>
    <w:rPr>
      <w:rFonts w:ascii="Arial" w:eastAsia="Times New Roman" w:hAnsi="Arial" w:cs="Arial"/>
      <w:b/>
      <w:bCs/>
      <w:sz w:val="24"/>
      <w:szCs w:val="24"/>
    </w:rPr>
  </w:style>
  <w:style w:type="character" w:customStyle="1" w:styleId="Heading2Char">
    <w:name w:val="Heading 2 Char"/>
    <w:basedOn w:val="DefaultParagraphFont"/>
    <w:link w:val="Heading2"/>
    <w:rsid w:val="00C94A8D"/>
    <w:rPr>
      <w:rFonts w:ascii="Arial" w:eastAsia="SimSun" w:hAnsi="Arial" w:cs="Arial"/>
      <w:b/>
      <w:bCs/>
      <w:sz w:val="32"/>
      <w:szCs w:val="20"/>
      <w:lang w:val="en-GB"/>
    </w:rPr>
  </w:style>
  <w:style w:type="character" w:styleId="Emphasis">
    <w:name w:val="Emphasis"/>
    <w:basedOn w:val="DefaultParagraphFont"/>
    <w:uiPriority w:val="20"/>
    <w:qFormat/>
    <w:rsid w:val="00C94A8D"/>
    <w:rPr>
      <w:b/>
      <w:bCs/>
      <w:i w:val="0"/>
      <w:iCs w:val="0"/>
    </w:rPr>
  </w:style>
  <w:style w:type="paragraph" w:styleId="Header">
    <w:name w:val="header"/>
    <w:basedOn w:val="Normal"/>
    <w:link w:val="HeaderChar"/>
    <w:uiPriority w:val="99"/>
    <w:unhideWhenUsed/>
    <w:rsid w:val="00325081"/>
    <w:pPr>
      <w:tabs>
        <w:tab w:val="center" w:pos="4680"/>
        <w:tab w:val="right" w:pos="9360"/>
      </w:tabs>
    </w:pPr>
  </w:style>
  <w:style w:type="character" w:customStyle="1" w:styleId="HeaderChar">
    <w:name w:val="Header Char"/>
    <w:basedOn w:val="DefaultParagraphFont"/>
    <w:link w:val="Header"/>
    <w:uiPriority w:val="99"/>
    <w:rsid w:val="00325081"/>
    <w:rPr>
      <w:rFonts w:ascii="Arial" w:eastAsia="Times New Roman" w:hAnsi="Arial" w:cs="Times New Roman"/>
      <w:color w:val="000000"/>
      <w:sz w:val="24"/>
      <w:szCs w:val="20"/>
      <w:lang w:eastAsia="en-GB"/>
    </w:rPr>
  </w:style>
  <w:style w:type="character" w:styleId="CommentReference">
    <w:name w:val="annotation reference"/>
    <w:basedOn w:val="DefaultParagraphFont"/>
    <w:uiPriority w:val="99"/>
    <w:semiHidden/>
    <w:unhideWhenUsed/>
    <w:rsid w:val="00A14F13"/>
    <w:rPr>
      <w:sz w:val="16"/>
      <w:szCs w:val="16"/>
    </w:rPr>
  </w:style>
  <w:style w:type="paragraph" w:styleId="CommentText">
    <w:name w:val="annotation text"/>
    <w:basedOn w:val="Normal"/>
    <w:link w:val="CommentTextChar"/>
    <w:uiPriority w:val="99"/>
    <w:semiHidden/>
    <w:unhideWhenUsed/>
    <w:rsid w:val="00A14F13"/>
    <w:rPr>
      <w:sz w:val="20"/>
    </w:rPr>
  </w:style>
  <w:style w:type="character" w:customStyle="1" w:styleId="CommentTextChar">
    <w:name w:val="Comment Text Char"/>
    <w:basedOn w:val="DefaultParagraphFont"/>
    <w:link w:val="CommentText"/>
    <w:uiPriority w:val="99"/>
    <w:semiHidden/>
    <w:rsid w:val="00A14F13"/>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14F13"/>
    <w:rPr>
      <w:b/>
      <w:bCs/>
    </w:rPr>
  </w:style>
  <w:style w:type="character" w:customStyle="1" w:styleId="CommentSubjectChar">
    <w:name w:val="Comment Subject Char"/>
    <w:basedOn w:val="CommentTextChar"/>
    <w:link w:val="CommentSubject"/>
    <w:uiPriority w:val="99"/>
    <w:semiHidden/>
    <w:rsid w:val="00A14F13"/>
    <w:rPr>
      <w:rFonts w:ascii="Arial" w:eastAsia="Times New Roman" w:hAnsi="Arial" w:cs="Times New Roman"/>
      <w:b/>
      <w:bCs/>
      <w:color w:val="000000"/>
      <w:sz w:val="20"/>
      <w:szCs w:val="20"/>
      <w:lang w:eastAsia="en-GB"/>
    </w:rPr>
  </w:style>
  <w:style w:type="paragraph" w:styleId="BalloonText">
    <w:name w:val="Balloon Text"/>
    <w:basedOn w:val="Normal"/>
    <w:link w:val="BalloonTextChar"/>
    <w:uiPriority w:val="99"/>
    <w:semiHidden/>
    <w:unhideWhenUsed/>
    <w:rsid w:val="00A14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13"/>
    <w:rPr>
      <w:rFonts w:ascii="Segoe UI" w:eastAsia="Times New Roman" w:hAnsi="Segoe UI" w:cs="Segoe UI"/>
      <w:color w:val="000000"/>
      <w:sz w:val="18"/>
      <w:szCs w:val="18"/>
      <w:lang w:eastAsia="en-GB"/>
    </w:rPr>
  </w:style>
  <w:style w:type="paragraph" w:styleId="Revision">
    <w:name w:val="Revision"/>
    <w:hidden/>
    <w:uiPriority w:val="99"/>
    <w:semiHidden/>
    <w:rsid w:val="00D123FE"/>
    <w:pPr>
      <w:spacing w:after="0" w:line="240" w:lineRule="auto"/>
    </w:pPr>
    <w:rPr>
      <w:rFonts w:ascii="Arial" w:eastAsia="Times New Roman" w:hAnsi="Arial" w:cs="Times New Roman"/>
      <w:color w:val="000000"/>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Francinah Seanego</dc:creator>
  <cp:lastModifiedBy>PUMZA</cp:lastModifiedBy>
  <cp:revision>2</cp:revision>
  <cp:lastPrinted>2018-07-17T07:42:00Z</cp:lastPrinted>
  <dcterms:created xsi:type="dcterms:W3CDTF">2018-07-30T09:42:00Z</dcterms:created>
  <dcterms:modified xsi:type="dcterms:W3CDTF">2018-07-30T09:42:00Z</dcterms:modified>
</cp:coreProperties>
</file>