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A4" w:rsidRPr="00DE38BF" w:rsidRDefault="00F964A4" w:rsidP="00F964A4">
      <w:pPr>
        <w:pStyle w:val="DACBODYTEXT"/>
        <w:ind w:left="84"/>
        <w:jc w:val="center"/>
        <w:rPr>
          <w:b/>
          <w:sz w:val="32"/>
          <w:szCs w:val="32"/>
        </w:rPr>
      </w:pPr>
      <w:r w:rsidRPr="00DE38BF">
        <w:rPr>
          <w:b/>
          <w:sz w:val="32"/>
          <w:szCs w:val="32"/>
        </w:rPr>
        <w:t>NATIONAL ASSEMBLY</w:t>
      </w:r>
    </w:p>
    <w:p w:rsidR="00F964A4" w:rsidRPr="00D51C24" w:rsidRDefault="00F964A4" w:rsidP="00F964A4">
      <w:pPr>
        <w:pStyle w:val="DACBODYTEXT"/>
        <w:ind w:left="84"/>
        <w:rPr>
          <w:b/>
          <w:sz w:val="32"/>
          <w:szCs w:val="32"/>
          <w:u w:val="single"/>
        </w:rPr>
      </w:pPr>
      <w:bookmarkStart w:id="0" w:name="_GoBack"/>
      <w:bookmarkEnd w:id="0"/>
      <w:r w:rsidRPr="00D51C24">
        <w:rPr>
          <w:b/>
          <w:sz w:val="32"/>
          <w:szCs w:val="32"/>
          <w:u w:val="single"/>
        </w:rPr>
        <w:t>QUESTION NO. 1473-2020</w:t>
      </w:r>
    </w:p>
    <w:p w:rsidR="00F964A4" w:rsidRPr="00D51C24" w:rsidRDefault="00F964A4" w:rsidP="00F964A4">
      <w:pPr>
        <w:tabs>
          <w:tab w:val="left" w:pos="576"/>
          <w:tab w:val="left" w:pos="1296"/>
          <w:tab w:val="left" w:pos="6336"/>
        </w:tabs>
        <w:spacing w:after="0"/>
        <w:ind w:left="70"/>
        <w:jc w:val="both"/>
        <w:rPr>
          <w:rFonts w:cs="Arial"/>
          <w:b/>
          <w:sz w:val="32"/>
          <w:szCs w:val="32"/>
        </w:rPr>
      </w:pPr>
      <w:r w:rsidRPr="00D51C24">
        <w:rPr>
          <w:rFonts w:cs="Arial"/>
          <w:b/>
          <w:sz w:val="32"/>
          <w:szCs w:val="32"/>
          <w:u w:val="single"/>
        </w:rPr>
        <w:t>FOR WRITTEN REPLY</w:t>
      </w:r>
    </w:p>
    <w:p w:rsidR="00F964A4" w:rsidRPr="00D51C24" w:rsidRDefault="00F964A4" w:rsidP="00F964A4">
      <w:pPr>
        <w:tabs>
          <w:tab w:val="left" w:pos="6336"/>
        </w:tabs>
        <w:spacing w:after="0"/>
        <w:ind w:left="70"/>
        <w:jc w:val="both"/>
        <w:rPr>
          <w:b/>
          <w:sz w:val="32"/>
          <w:szCs w:val="32"/>
        </w:rPr>
      </w:pPr>
      <w:r w:rsidRPr="00D51C24">
        <w:rPr>
          <w:b/>
          <w:sz w:val="32"/>
          <w:szCs w:val="32"/>
        </w:rPr>
        <w:t>INTERNAL QUESTION PAPER NO 25 -2020: Date of publication - 10 July 2020</w:t>
      </w:r>
    </w:p>
    <w:p w:rsidR="00F964A4" w:rsidRPr="00D51C24" w:rsidRDefault="00F964A4" w:rsidP="00F964A4">
      <w:pPr>
        <w:tabs>
          <w:tab w:val="left" w:pos="6336"/>
        </w:tabs>
        <w:spacing w:after="0"/>
        <w:ind w:left="70"/>
        <w:jc w:val="both"/>
        <w:rPr>
          <w:rFonts w:cs="Arial"/>
          <w:b/>
          <w:caps/>
          <w:sz w:val="32"/>
          <w:szCs w:val="32"/>
        </w:rPr>
      </w:pPr>
      <w:r w:rsidRPr="00D51C24">
        <w:rPr>
          <w:rFonts w:cs="Arial"/>
          <w:b/>
          <w:caps/>
          <w:sz w:val="32"/>
          <w:szCs w:val="32"/>
        </w:rPr>
        <w:t>“Mr B S Madlingozi (EFF): TO ASK THE MINISTER OF SPORT, ARTS AND CULTURE”</w:t>
      </w:r>
    </w:p>
    <w:p w:rsidR="00F964A4" w:rsidRPr="00D51C24" w:rsidRDefault="00F964A4" w:rsidP="00F964A4">
      <w:pPr>
        <w:tabs>
          <w:tab w:val="left" w:pos="6336"/>
        </w:tabs>
        <w:spacing w:after="0"/>
        <w:ind w:left="70"/>
        <w:jc w:val="both"/>
        <w:rPr>
          <w:rFonts w:cs="Arial"/>
          <w:sz w:val="32"/>
          <w:szCs w:val="32"/>
        </w:rPr>
      </w:pPr>
      <w:r w:rsidRPr="00D51C24">
        <w:rPr>
          <w:rFonts w:cs="Arial"/>
          <w:sz w:val="32"/>
          <w:szCs w:val="32"/>
        </w:rPr>
        <w:t>What (a) is the number of statues of (</w:t>
      </w:r>
      <w:proofErr w:type="spellStart"/>
      <w:r w:rsidRPr="00D51C24">
        <w:rPr>
          <w:rFonts w:cs="Arial"/>
          <w:sz w:val="32"/>
          <w:szCs w:val="32"/>
        </w:rPr>
        <w:t>i</w:t>
      </w:r>
      <w:proofErr w:type="spellEnd"/>
      <w:r w:rsidRPr="00D51C24">
        <w:rPr>
          <w:rFonts w:cs="Arial"/>
          <w:sz w:val="32"/>
          <w:szCs w:val="32"/>
        </w:rPr>
        <w:t>) colonial and (ii) apartheid figures in the Republic, (b) is the exact location of each statue, (c) amount did it cost his department to (aa) maintain and (bb) safeguard the statues in each of the past five financial years and (d) are the formal requirements for removing statues?</w:t>
      </w:r>
      <w:r w:rsidRPr="00D51C24">
        <w:rPr>
          <w:rFonts w:cs="Arial"/>
          <w:b/>
          <w:sz w:val="32"/>
          <w:szCs w:val="32"/>
        </w:rPr>
        <w:t xml:space="preserve">. </w:t>
      </w:r>
      <w:r w:rsidRPr="00D51C24">
        <w:rPr>
          <w:rFonts w:cs="Arial"/>
          <w:sz w:val="32"/>
          <w:szCs w:val="32"/>
        </w:rPr>
        <w:t xml:space="preserve">                 (</w:t>
      </w:r>
      <w:r w:rsidRPr="00D51C24">
        <w:rPr>
          <w:rFonts w:cs="Arial"/>
          <w:b/>
          <w:sz w:val="32"/>
          <w:szCs w:val="32"/>
        </w:rPr>
        <w:t>NW 1844E</w:t>
      </w:r>
      <w:r w:rsidRPr="00D51C24">
        <w:rPr>
          <w:rFonts w:cs="Arial"/>
          <w:sz w:val="32"/>
          <w:szCs w:val="32"/>
        </w:rPr>
        <w:t>)</w:t>
      </w:r>
      <w:r w:rsidRPr="00D51C24">
        <w:rPr>
          <w:rFonts w:cs="Arial"/>
          <w:sz w:val="32"/>
          <w:szCs w:val="32"/>
        </w:rPr>
        <w:tab/>
      </w:r>
    </w:p>
    <w:p w:rsidR="00F964A4" w:rsidRPr="00D51C24" w:rsidRDefault="00F964A4" w:rsidP="00F964A4">
      <w:pPr>
        <w:tabs>
          <w:tab w:val="left" w:pos="8931"/>
        </w:tabs>
        <w:spacing w:after="0"/>
        <w:ind w:left="70"/>
        <w:jc w:val="both"/>
        <w:rPr>
          <w:rFonts w:cs="Arial"/>
          <w:b/>
          <w:sz w:val="32"/>
          <w:szCs w:val="32"/>
        </w:rPr>
      </w:pPr>
    </w:p>
    <w:p w:rsidR="00F964A4" w:rsidRPr="00D51C24" w:rsidRDefault="00F964A4" w:rsidP="00F964A4">
      <w:pPr>
        <w:tabs>
          <w:tab w:val="left" w:pos="8931"/>
        </w:tabs>
        <w:spacing w:after="0"/>
        <w:ind w:left="70"/>
        <w:jc w:val="both"/>
        <w:rPr>
          <w:rFonts w:cs="Arial"/>
          <w:b/>
          <w:sz w:val="32"/>
          <w:szCs w:val="32"/>
        </w:rPr>
      </w:pPr>
      <w:r w:rsidRPr="00D51C24">
        <w:rPr>
          <w:rFonts w:cs="Arial"/>
          <w:b/>
          <w:sz w:val="32"/>
          <w:szCs w:val="32"/>
        </w:rPr>
        <w:t>REPLY:</w:t>
      </w:r>
    </w:p>
    <w:p w:rsidR="00F964A4" w:rsidRPr="00D51C24" w:rsidRDefault="00F964A4" w:rsidP="00F964A4">
      <w:pPr>
        <w:tabs>
          <w:tab w:val="left" w:pos="8931"/>
        </w:tabs>
        <w:spacing w:after="0"/>
        <w:jc w:val="both"/>
        <w:rPr>
          <w:rFonts w:cs="Arial"/>
          <w:sz w:val="32"/>
          <w:szCs w:val="32"/>
        </w:rPr>
      </w:pPr>
      <w:r w:rsidRPr="00D51C24">
        <w:rPr>
          <w:rFonts w:cs="Arial"/>
          <w:sz w:val="32"/>
          <w:szCs w:val="32"/>
        </w:rPr>
        <w:t>There is currently (a) no complete consolidated number of statues of (</w:t>
      </w:r>
      <w:proofErr w:type="spellStart"/>
      <w:r w:rsidRPr="00D51C24">
        <w:rPr>
          <w:rFonts w:cs="Arial"/>
          <w:sz w:val="32"/>
          <w:szCs w:val="32"/>
        </w:rPr>
        <w:t>i</w:t>
      </w:r>
      <w:proofErr w:type="spellEnd"/>
      <w:r w:rsidRPr="00D51C24">
        <w:rPr>
          <w:rFonts w:cs="Arial"/>
          <w:sz w:val="32"/>
          <w:szCs w:val="32"/>
        </w:rPr>
        <w:t xml:space="preserve">) colonial and (ii) apartheid figures in the Republic. The management of monuments, memorials and statues is the responsibility of Provincial Heritage Resources Authorities (PHRAs). </w:t>
      </w:r>
    </w:p>
    <w:p w:rsidR="00F964A4" w:rsidRPr="00D51C24" w:rsidRDefault="00F964A4" w:rsidP="00F964A4">
      <w:pPr>
        <w:tabs>
          <w:tab w:val="left" w:pos="8931"/>
        </w:tabs>
        <w:spacing w:after="0"/>
        <w:jc w:val="both"/>
        <w:rPr>
          <w:rFonts w:cs="Arial"/>
          <w:sz w:val="32"/>
          <w:szCs w:val="32"/>
        </w:rPr>
      </w:pPr>
    </w:p>
    <w:p w:rsidR="00F964A4" w:rsidRPr="00D51C24" w:rsidRDefault="00F964A4" w:rsidP="00F964A4">
      <w:pPr>
        <w:tabs>
          <w:tab w:val="left" w:pos="8931"/>
        </w:tabs>
        <w:spacing w:after="0"/>
        <w:jc w:val="both"/>
        <w:rPr>
          <w:rFonts w:cs="Arial"/>
          <w:sz w:val="32"/>
          <w:szCs w:val="32"/>
        </w:rPr>
      </w:pPr>
      <w:r w:rsidRPr="00D51C24">
        <w:rPr>
          <w:rFonts w:cs="Arial"/>
          <w:sz w:val="32"/>
          <w:szCs w:val="32"/>
        </w:rPr>
        <w:t xml:space="preserve">Only when the inventory of these resources is submitted to SAHRA by the PHRAs as heritage registers do they get incorporated into the heritage resources inventory on the South African Heritage Resources Information System (SAHRIS).  </w:t>
      </w:r>
    </w:p>
    <w:p w:rsidR="00F964A4" w:rsidRPr="00D51C24" w:rsidRDefault="00F964A4" w:rsidP="00F964A4">
      <w:pPr>
        <w:tabs>
          <w:tab w:val="left" w:pos="8931"/>
        </w:tabs>
        <w:spacing w:after="0"/>
        <w:jc w:val="both"/>
        <w:rPr>
          <w:rFonts w:cs="Arial"/>
          <w:sz w:val="32"/>
          <w:szCs w:val="32"/>
        </w:rPr>
      </w:pPr>
    </w:p>
    <w:p w:rsidR="00F964A4" w:rsidRDefault="00F964A4" w:rsidP="00F964A4">
      <w:pPr>
        <w:tabs>
          <w:tab w:val="left" w:pos="8931"/>
        </w:tabs>
        <w:spacing w:after="0"/>
        <w:jc w:val="both"/>
        <w:rPr>
          <w:rFonts w:cs="Arial"/>
          <w:sz w:val="32"/>
          <w:szCs w:val="32"/>
        </w:rPr>
      </w:pPr>
      <w:r w:rsidRPr="00D51C24">
        <w:rPr>
          <w:rFonts w:cs="Arial"/>
          <w:sz w:val="32"/>
          <w:szCs w:val="32"/>
        </w:rPr>
        <w:t xml:space="preserve">The table attached as annexure </w:t>
      </w:r>
      <w:r w:rsidRPr="00D51C24">
        <w:rPr>
          <w:rFonts w:cs="Arial"/>
          <w:b/>
          <w:sz w:val="32"/>
          <w:szCs w:val="32"/>
        </w:rPr>
        <w:t xml:space="preserve">A </w:t>
      </w:r>
      <w:r w:rsidRPr="00D51C24">
        <w:rPr>
          <w:rFonts w:cs="Arial"/>
          <w:sz w:val="32"/>
          <w:szCs w:val="32"/>
        </w:rPr>
        <w:t xml:space="preserve">provides the list of 24 heritage resources that are currently classified as monuments or memorials and listed on SAHRIS. This list is incomplete as </w:t>
      </w:r>
      <w:r w:rsidRPr="00D51C24">
        <w:rPr>
          <w:rFonts w:cs="Arial"/>
          <w:sz w:val="32"/>
          <w:szCs w:val="32"/>
        </w:rPr>
        <w:lastRenderedPageBreak/>
        <w:t xml:space="preserve">PHRAs must still audit and do an inventory of statues in provinces and submit to SAHRA for incorporation into the national inventory. </w:t>
      </w:r>
    </w:p>
    <w:p w:rsidR="00F964A4" w:rsidRPr="00D51C24" w:rsidRDefault="00F964A4" w:rsidP="00F964A4">
      <w:pPr>
        <w:tabs>
          <w:tab w:val="left" w:pos="8931"/>
        </w:tabs>
        <w:spacing w:after="0"/>
        <w:jc w:val="both"/>
        <w:rPr>
          <w:rFonts w:cs="Arial"/>
          <w:sz w:val="32"/>
          <w:szCs w:val="32"/>
        </w:rPr>
      </w:pPr>
    </w:p>
    <w:p w:rsidR="00F964A4" w:rsidRPr="00D51C24" w:rsidRDefault="00F964A4" w:rsidP="00F964A4">
      <w:pPr>
        <w:tabs>
          <w:tab w:val="left" w:pos="8931"/>
        </w:tabs>
        <w:spacing w:after="0"/>
        <w:jc w:val="both"/>
        <w:rPr>
          <w:rFonts w:cs="Arial"/>
          <w:sz w:val="32"/>
          <w:szCs w:val="32"/>
        </w:rPr>
      </w:pPr>
      <w:r w:rsidRPr="00D51C24">
        <w:rPr>
          <w:rFonts w:cs="Arial"/>
          <w:sz w:val="32"/>
          <w:szCs w:val="32"/>
        </w:rPr>
        <w:t xml:space="preserve">(d) The formal requirements to remove or relocate a statue or monument are: </w:t>
      </w:r>
    </w:p>
    <w:p w:rsidR="00F964A4" w:rsidRPr="00D51C24" w:rsidRDefault="00F964A4" w:rsidP="00F964A4">
      <w:pPr>
        <w:pStyle w:val="ListParagraph"/>
        <w:numPr>
          <w:ilvl w:val="0"/>
          <w:numId w:val="1"/>
        </w:numPr>
        <w:tabs>
          <w:tab w:val="left" w:pos="8931"/>
        </w:tabs>
        <w:spacing w:after="0"/>
        <w:jc w:val="both"/>
        <w:rPr>
          <w:rFonts w:cs="Arial"/>
          <w:sz w:val="32"/>
          <w:szCs w:val="32"/>
        </w:rPr>
      </w:pPr>
      <w:r w:rsidRPr="00D51C24">
        <w:rPr>
          <w:rFonts w:cs="Arial"/>
          <w:sz w:val="32"/>
          <w:szCs w:val="32"/>
        </w:rPr>
        <w:t>Completion of a permit application form for submission to the Provincial Heritage Resources Authority;</w:t>
      </w:r>
    </w:p>
    <w:p w:rsidR="00F964A4" w:rsidRPr="00D51C24" w:rsidRDefault="00F964A4" w:rsidP="00F964A4">
      <w:pPr>
        <w:pStyle w:val="ListParagraph"/>
        <w:numPr>
          <w:ilvl w:val="0"/>
          <w:numId w:val="1"/>
        </w:numPr>
        <w:tabs>
          <w:tab w:val="left" w:pos="8931"/>
        </w:tabs>
        <w:spacing w:after="0"/>
        <w:jc w:val="both"/>
        <w:rPr>
          <w:rFonts w:cs="Arial"/>
          <w:sz w:val="32"/>
          <w:szCs w:val="32"/>
        </w:rPr>
      </w:pPr>
      <w:r w:rsidRPr="00D51C24">
        <w:rPr>
          <w:rFonts w:cs="Arial"/>
          <w:sz w:val="32"/>
          <w:szCs w:val="32"/>
        </w:rPr>
        <w:t xml:space="preserve">The Heritage Impact Assessment Report prepared by a qualified heritage practitioner or consultant must be attached as supporting documentation. </w:t>
      </w:r>
    </w:p>
    <w:p w:rsidR="00F964A4" w:rsidRPr="00D51C24" w:rsidRDefault="00F964A4" w:rsidP="00F964A4">
      <w:pPr>
        <w:pStyle w:val="ListParagraph"/>
        <w:numPr>
          <w:ilvl w:val="0"/>
          <w:numId w:val="1"/>
        </w:numPr>
        <w:tabs>
          <w:tab w:val="left" w:pos="8931"/>
        </w:tabs>
        <w:spacing w:after="0"/>
        <w:jc w:val="both"/>
        <w:rPr>
          <w:rFonts w:cs="Arial"/>
          <w:sz w:val="32"/>
          <w:szCs w:val="32"/>
        </w:rPr>
      </w:pPr>
      <w:r w:rsidRPr="00D51C24">
        <w:rPr>
          <w:rFonts w:cs="Arial"/>
          <w:sz w:val="32"/>
          <w:szCs w:val="32"/>
        </w:rPr>
        <w:t xml:space="preserve">Such report should be based on solid research principles, including an assessment of the impact of the proposed removal/relocation, and if necessary, proposed mitigation measures. </w:t>
      </w:r>
    </w:p>
    <w:p w:rsidR="00F964A4" w:rsidRPr="00D51C24" w:rsidRDefault="00F964A4" w:rsidP="00F964A4">
      <w:pPr>
        <w:pStyle w:val="ListParagraph"/>
        <w:numPr>
          <w:ilvl w:val="0"/>
          <w:numId w:val="1"/>
        </w:numPr>
        <w:tabs>
          <w:tab w:val="left" w:pos="8931"/>
        </w:tabs>
        <w:spacing w:after="0"/>
        <w:jc w:val="both"/>
        <w:rPr>
          <w:rFonts w:cs="Arial"/>
          <w:sz w:val="32"/>
          <w:szCs w:val="32"/>
        </w:rPr>
      </w:pPr>
      <w:r w:rsidRPr="00D51C24">
        <w:rPr>
          <w:rFonts w:cs="Arial"/>
          <w:sz w:val="32"/>
          <w:szCs w:val="32"/>
        </w:rPr>
        <w:t xml:space="preserve">A public consultation process of at least 30-days that may include, but is not limited to, the following: </w:t>
      </w:r>
    </w:p>
    <w:p w:rsidR="00F964A4" w:rsidRPr="00D51C24" w:rsidRDefault="00F964A4" w:rsidP="00F964A4">
      <w:pPr>
        <w:pStyle w:val="ListParagraph"/>
        <w:numPr>
          <w:ilvl w:val="0"/>
          <w:numId w:val="1"/>
        </w:numPr>
        <w:tabs>
          <w:tab w:val="left" w:pos="8931"/>
        </w:tabs>
        <w:spacing w:after="0"/>
        <w:jc w:val="both"/>
        <w:rPr>
          <w:rFonts w:cs="Arial"/>
          <w:sz w:val="32"/>
          <w:szCs w:val="32"/>
        </w:rPr>
      </w:pPr>
      <w:r w:rsidRPr="00D51C24">
        <w:rPr>
          <w:rFonts w:cs="Arial"/>
          <w:sz w:val="32"/>
          <w:szCs w:val="32"/>
        </w:rPr>
        <w:t>Public Notices and advertisements that must be placed in National as well as local newspapers, indicating:</w:t>
      </w:r>
    </w:p>
    <w:p w:rsidR="00F964A4" w:rsidRPr="00D51C24" w:rsidRDefault="00F964A4" w:rsidP="00F964A4">
      <w:pPr>
        <w:pStyle w:val="ListParagraph"/>
        <w:numPr>
          <w:ilvl w:val="0"/>
          <w:numId w:val="2"/>
        </w:numPr>
        <w:tabs>
          <w:tab w:val="left" w:pos="8931"/>
        </w:tabs>
        <w:spacing w:after="0"/>
        <w:jc w:val="both"/>
        <w:rPr>
          <w:rFonts w:cs="Arial"/>
          <w:sz w:val="32"/>
          <w:szCs w:val="32"/>
        </w:rPr>
      </w:pPr>
      <w:r w:rsidRPr="00D51C24">
        <w:rPr>
          <w:rFonts w:cs="Arial"/>
          <w:sz w:val="32"/>
          <w:szCs w:val="32"/>
        </w:rPr>
        <w:t xml:space="preserve">the intention to move or remove the statue/monument; and </w:t>
      </w:r>
    </w:p>
    <w:p w:rsidR="00F964A4" w:rsidRPr="00D51C24" w:rsidRDefault="00F964A4" w:rsidP="00F964A4">
      <w:pPr>
        <w:pStyle w:val="ListParagraph"/>
        <w:numPr>
          <w:ilvl w:val="0"/>
          <w:numId w:val="2"/>
        </w:numPr>
        <w:tabs>
          <w:tab w:val="left" w:pos="8931"/>
        </w:tabs>
        <w:spacing w:after="0"/>
        <w:jc w:val="both"/>
        <w:rPr>
          <w:rFonts w:cs="Arial"/>
          <w:sz w:val="32"/>
          <w:szCs w:val="32"/>
        </w:rPr>
      </w:pPr>
      <w:proofErr w:type="gramStart"/>
      <w:r w:rsidRPr="00D51C24">
        <w:rPr>
          <w:rFonts w:cs="Arial"/>
          <w:sz w:val="32"/>
          <w:szCs w:val="32"/>
        </w:rPr>
        <w:t>contacting</w:t>
      </w:r>
      <w:proofErr w:type="gramEnd"/>
      <w:r w:rsidRPr="00D51C24">
        <w:rPr>
          <w:rFonts w:cs="Arial"/>
          <w:sz w:val="32"/>
          <w:szCs w:val="32"/>
        </w:rPr>
        <w:t xml:space="preserve"> and inviting comments from interested and affected parties. </w:t>
      </w:r>
    </w:p>
    <w:p w:rsidR="00F964A4" w:rsidRPr="00D51C24" w:rsidRDefault="00F964A4" w:rsidP="00F964A4">
      <w:pPr>
        <w:pStyle w:val="ListParagraph"/>
        <w:numPr>
          <w:ilvl w:val="0"/>
          <w:numId w:val="2"/>
        </w:numPr>
        <w:tabs>
          <w:tab w:val="left" w:pos="8931"/>
        </w:tabs>
        <w:spacing w:after="0"/>
        <w:jc w:val="both"/>
        <w:rPr>
          <w:rFonts w:cs="Arial"/>
          <w:sz w:val="32"/>
          <w:szCs w:val="32"/>
        </w:rPr>
      </w:pPr>
      <w:r w:rsidRPr="00D51C24">
        <w:rPr>
          <w:rFonts w:cs="Arial"/>
          <w:sz w:val="32"/>
          <w:szCs w:val="32"/>
        </w:rPr>
        <w:t xml:space="preserve">preparation of a Conservation Management Plan </w:t>
      </w:r>
    </w:p>
    <w:p w:rsidR="00F964A4" w:rsidRDefault="00F964A4" w:rsidP="00F964A4">
      <w:pPr>
        <w:pStyle w:val="ListParagraph"/>
        <w:numPr>
          <w:ilvl w:val="0"/>
          <w:numId w:val="2"/>
        </w:numPr>
        <w:tabs>
          <w:tab w:val="left" w:pos="8931"/>
        </w:tabs>
        <w:spacing w:after="0"/>
        <w:jc w:val="both"/>
        <w:rPr>
          <w:rFonts w:cs="Arial"/>
          <w:sz w:val="32"/>
          <w:szCs w:val="32"/>
        </w:rPr>
      </w:pPr>
      <w:proofErr w:type="gramStart"/>
      <w:r w:rsidRPr="00D51C24">
        <w:rPr>
          <w:rFonts w:cs="Arial"/>
          <w:sz w:val="32"/>
          <w:szCs w:val="32"/>
        </w:rPr>
        <w:t>presentation</w:t>
      </w:r>
      <w:proofErr w:type="gramEnd"/>
      <w:r w:rsidRPr="00D51C24">
        <w:rPr>
          <w:rFonts w:cs="Arial"/>
          <w:sz w:val="32"/>
          <w:szCs w:val="32"/>
        </w:rPr>
        <w:t xml:space="preserve"> to the PHRA heritage permit committee meeting as may be required.  </w:t>
      </w:r>
    </w:p>
    <w:p w:rsidR="00F964A4" w:rsidRPr="00D51C24" w:rsidRDefault="00F964A4" w:rsidP="00F964A4">
      <w:pPr>
        <w:pStyle w:val="ListParagraph"/>
        <w:tabs>
          <w:tab w:val="left" w:pos="8931"/>
        </w:tabs>
        <w:spacing w:after="0"/>
        <w:ind w:left="1080"/>
        <w:jc w:val="both"/>
        <w:rPr>
          <w:rFonts w:cs="Arial"/>
          <w:sz w:val="32"/>
          <w:szCs w:val="32"/>
        </w:rPr>
      </w:pPr>
    </w:p>
    <w:p w:rsidR="00F964A4" w:rsidRPr="00D51C24" w:rsidRDefault="00F964A4" w:rsidP="00F964A4">
      <w:pPr>
        <w:tabs>
          <w:tab w:val="left" w:pos="8931"/>
        </w:tabs>
        <w:spacing w:after="0"/>
        <w:jc w:val="both"/>
        <w:rPr>
          <w:rFonts w:cs="Arial"/>
          <w:sz w:val="32"/>
          <w:szCs w:val="32"/>
        </w:rPr>
      </w:pPr>
      <w:r w:rsidRPr="00D51C24">
        <w:rPr>
          <w:rFonts w:cs="Arial"/>
          <w:sz w:val="32"/>
          <w:szCs w:val="32"/>
        </w:rPr>
        <w:t>The committee then makes its findings based on the presentation of the processes above and may require further investigation</w:t>
      </w:r>
      <w:r>
        <w:rPr>
          <w:rFonts w:cs="Arial"/>
          <w:sz w:val="32"/>
          <w:szCs w:val="32"/>
        </w:rPr>
        <w:t>s</w:t>
      </w:r>
      <w:r w:rsidRPr="00D51C24">
        <w:rPr>
          <w:rFonts w:cs="Arial"/>
          <w:sz w:val="32"/>
          <w:szCs w:val="32"/>
        </w:rPr>
        <w:t xml:space="preserve">. In the event that the applicant is not satisfied with the decision of the permit committee, they can appeal to the PHRA Council. </w:t>
      </w:r>
      <w:r w:rsidRPr="00D51C24">
        <w:rPr>
          <w:rFonts w:cs="Arial"/>
          <w:sz w:val="32"/>
          <w:szCs w:val="32"/>
        </w:rPr>
        <w:lastRenderedPageBreak/>
        <w:t>Similarly, in the event that they are not satisfied with the decision of the PHRA Council, they can appeal to the Member of the Executive Council (MEC) in terms of Section 49 of the National Heritage resources Act, Act No. 25 of 1999. The MEC is by law required to appoint an Independent Tribunal comprising of experts to consider the matter and give a final recommendation.</w:t>
      </w:r>
    </w:p>
    <w:p w:rsidR="00F964A4" w:rsidRPr="00D51C24" w:rsidRDefault="00F964A4" w:rsidP="00F964A4">
      <w:pPr>
        <w:tabs>
          <w:tab w:val="left" w:pos="8931"/>
        </w:tabs>
        <w:spacing w:after="0"/>
        <w:jc w:val="both"/>
        <w:rPr>
          <w:rFonts w:cs="Arial"/>
          <w:sz w:val="32"/>
          <w:szCs w:val="32"/>
        </w:rPr>
      </w:pPr>
    </w:p>
    <w:p w:rsidR="00F964A4" w:rsidRPr="00D51C24" w:rsidRDefault="00F964A4" w:rsidP="00F964A4">
      <w:pPr>
        <w:tabs>
          <w:tab w:val="left" w:pos="8931"/>
        </w:tabs>
        <w:spacing w:after="0"/>
        <w:jc w:val="both"/>
        <w:rPr>
          <w:rFonts w:cs="Arial"/>
          <w:sz w:val="32"/>
          <w:szCs w:val="32"/>
        </w:rPr>
      </w:pPr>
      <w:r w:rsidRPr="00D51C24">
        <w:rPr>
          <w:rFonts w:cs="Arial"/>
          <w:sz w:val="32"/>
          <w:szCs w:val="32"/>
        </w:rPr>
        <w:t>The cost of this process is all borne by the applicant.</w:t>
      </w:r>
    </w:p>
    <w:p w:rsidR="00F964A4" w:rsidRPr="002F4024" w:rsidRDefault="00F964A4" w:rsidP="00F964A4">
      <w:pPr>
        <w:pStyle w:val="ListParagraph"/>
        <w:tabs>
          <w:tab w:val="left" w:pos="8931"/>
        </w:tabs>
        <w:spacing w:after="0" w:line="360" w:lineRule="auto"/>
        <w:ind w:left="430"/>
        <w:jc w:val="both"/>
        <w:rPr>
          <w:rFonts w:cs="Arial"/>
          <w:sz w:val="24"/>
          <w:szCs w:val="24"/>
        </w:rPr>
      </w:pPr>
      <w:r>
        <w:object w:dxaOrig="1540"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5" o:title=""/>
          </v:shape>
          <o:OLEObject Type="Embed" ProgID="AcroExch.Document.11" ShapeID="_x0000_i1025" DrawAspect="Icon" ObjectID="_1657528874" r:id="rId6"/>
        </w:object>
      </w:r>
      <w:r>
        <w:object w:dxaOrig="1540" w:dyaOrig="998">
          <v:shape id="_x0000_i1026" type="#_x0000_t75" style="width:77.25pt;height:50.25pt" o:ole="">
            <v:imagedata r:id="rId7" o:title=""/>
          </v:shape>
          <o:OLEObject Type="Embed" ProgID="AcroExch.Document.11" ShapeID="_x0000_i1026" DrawAspect="Icon" ObjectID="_1657528875" r:id="rId8"/>
        </w:object>
      </w:r>
    </w:p>
    <w:p w:rsidR="00F964A4" w:rsidRDefault="00F964A4" w:rsidP="00F964A4">
      <w:pPr>
        <w:jc w:val="center"/>
        <w:rPr>
          <w:rFonts w:cs="Arial"/>
          <w:b/>
          <w:bCs/>
          <w:sz w:val="32"/>
          <w:szCs w:val="32"/>
        </w:rPr>
      </w:pPr>
    </w:p>
    <w:p w:rsidR="00F964A4" w:rsidRDefault="00F964A4" w:rsidP="00F964A4">
      <w:pPr>
        <w:jc w:val="center"/>
        <w:rPr>
          <w:rFonts w:cs="Arial"/>
          <w:b/>
          <w:bCs/>
          <w:sz w:val="32"/>
          <w:szCs w:val="32"/>
        </w:rPr>
      </w:pPr>
    </w:p>
    <w:p w:rsidR="00F964A4" w:rsidRDefault="00F964A4" w:rsidP="00F964A4">
      <w:pPr>
        <w:jc w:val="center"/>
        <w:rPr>
          <w:rFonts w:cs="Arial"/>
          <w:b/>
          <w:bCs/>
          <w:sz w:val="32"/>
          <w:szCs w:val="32"/>
        </w:rPr>
      </w:pPr>
    </w:p>
    <w:p w:rsidR="00F964A4" w:rsidRDefault="00F964A4" w:rsidP="00F964A4">
      <w:pPr>
        <w:jc w:val="center"/>
        <w:rPr>
          <w:rFonts w:cs="Arial"/>
          <w:b/>
          <w:bCs/>
          <w:sz w:val="32"/>
          <w:szCs w:val="32"/>
        </w:rPr>
      </w:pPr>
    </w:p>
    <w:p w:rsidR="00F964A4" w:rsidRDefault="00F964A4" w:rsidP="00F964A4">
      <w:pPr>
        <w:jc w:val="center"/>
        <w:rPr>
          <w:rFonts w:cs="Arial"/>
          <w:b/>
          <w:bCs/>
          <w:sz w:val="32"/>
          <w:szCs w:val="32"/>
        </w:rPr>
      </w:pPr>
    </w:p>
    <w:p w:rsidR="00F964A4" w:rsidRDefault="00F964A4" w:rsidP="00F964A4">
      <w:pPr>
        <w:jc w:val="center"/>
        <w:rPr>
          <w:rFonts w:cs="Arial"/>
          <w:b/>
          <w:bCs/>
          <w:sz w:val="32"/>
          <w:szCs w:val="32"/>
        </w:rPr>
      </w:pPr>
    </w:p>
    <w:p w:rsidR="00F964A4" w:rsidRDefault="00F964A4" w:rsidP="00F964A4">
      <w:pPr>
        <w:jc w:val="center"/>
        <w:rPr>
          <w:rFonts w:cs="Arial"/>
          <w:b/>
          <w:bCs/>
          <w:sz w:val="32"/>
          <w:szCs w:val="32"/>
        </w:rPr>
      </w:pPr>
    </w:p>
    <w:p w:rsidR="00F964A4" w:rsidRDefault="00F964A4" w:rsidP="00F964A4">
      <w:pPr>
        <w:jc w:val="center"/>
        <w:rPr>
          <w:rFonts w:cs="Arial"/>
          <w:b/>
          <w:bCs/>
          <w:sz w:val="32"/>
          <w:szCs w:val="32"/>
        </w:rPr>
      </w:pPr>
    </w:p>
    <w:p w:rsidR="00F964A4" w:rsidRDefault="00F964A4" w:rsidP="00F964A4">
      <w:pPr>
        <w:jc w:val="center"/>
        <w:rPr>
          <w:rFonts w:cs="Arial"/>
          <w:b/>
          <w:bCs/>
          <w:sz w:val="32"/>
          <w:szCs w:val="32"/>
        </w:rPr>
      </w:pPr>
    </w:p>
    <w:p w:rsidR="00F964A4" w:rsidRDefault="00F964A4" w:rsidP="00F964A4">
      <w:pPr>
        <w:jc w:val="center"/>
        <w:rPr>
          <w:rFonts w:cs="Arial"/>
          <w:b/>
          <w:bCs/>
          <w:sz w:val="32"/>
          <w:szCs w:val="32"/>
        </w:rPr>
      </w:pPr>
    </w:p>
    <w:p w:rsidR="00F964A4" w:rsidRDefault="00F964A4" w:rsidP="00F964A4">
      <w:pPr>
        <w:jc w:val="center"/>
        <w:rPr>
          <w:rFonts w:cs="Arial"/>
          <w:b/>
          <w:bCs/>
          <w:sz w:val="32"/>
          <w:szCs w:val="32"/>
        </w:rPr>
      </w:pPr>
    </w:p>
    <w:p w:rsidR="00F964A4" w:rsidRDefault="00F964A4" w:rsidP="00F964A4">
      <w:pPr>
        <w:jc w:val="center"/>
        <w:rPr>
          <w:rFonts w:cs="Arial"/>
          <w:b/>
          <w:bCs/>
          <w:sz w:val="32"/>
          <w:szCs w:val="32"/>
        </w:rPr>
      </w:pPr>
    </w:p>
    <w:p w:rsidR="00F964A4" w:rsidRDefault="00F964A4" w:rsidP="00F964A4">
      <w:pPr>
        <w:jc w:val="center"/>
        <w:rPr>
          <w:rFonts w:cs="Arial"/>
          <w:b/>
          <w:bCs/>
          <w:sz w:val="32"/>
          <w:szCs w:val="32"/>
        </w:rPr>
      </w:pPr>
    </w:p>
    <w:p w:rsidR="00F964A4" w:rsidRDefault="00F964A4" w:rsidP="00F964A4">
      <w:pPr>
        <w:jc w:val="center"/>
        <w:rPr>
          <w:rFonts w:cs="Arial"/>
          <w:b/>
          <w:bCs/>
          <w:sz w:val="32"/>
          <w:szCs w:val="32"/>
        </w:rPr>
      </w:pPr>
    </w:p>
    <w:p w:rsidR="00F964A4" w:rsidRDefault="00F964A4" w:rsidP="00F964A4">
      <w:pPr>
        <w:jc w:val="center"/>
        <w:rPr>
          <w:rFonts w:cs="Arial"/>
          <w:b/>
          <w:bCs/>
          <w:sz w:val="32"/>
          <w:szCs w:val="32"/>
        </w:rPr>
      </w:pPr>
    </w:p>
    <w:p w:rsidR="00F964A4" w:rsidRDefault="00F964A4" w:rsidP="00F964A4">
      <w:pPr>
        <w:rPr>
          <w:rFonts w:cs="Arial"/>
          <w:b/>
          <w:bCs/>
          <w:sz w:val="32"/>
          <w:szCs w:val="32"/>
        </w:rPr>
      </w:pPr>
    </w:p>
    <w:p w:rsidR="008B551B" w:rsidRDefault="008B551B"/>
    <w:sectPr w:rsidR="008B551B" w:rsidSect="00CA25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0E43"/>
    <w:multiLevelType w:val="hybridMultilevel"/>
    <w:tmpl w:val="F1D888A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70" w:hanging="360"/>
      </w:pPr>
      <w:rPr>
        <w:rFonts w:ascii="Courier New" w:hAnsi="Courier New" w:cs="Courier New" w:hint="default"/>
      </w:rPr>
    </w:lvl>
    <w:lvl w:ilvl="2" w:tplc="1C090005" w:tentative="1">
      <w:start w:val="1"/>
      <w:numFmt w:val="bullet"/>
      <w:lvlText w:val=""/>
      <w:lvlJc w:val="left"/>
      <w:pPr>
        <w:ind w:left="2590" w:hanging="360"/>
      </w:pPr>
      <w:rPr>
        <w:rFonts w:ascii="Wingdings" w:hAnsi="Wingdings" w:hint="default"/>
      </w:rPr>
    </w:lvl>
    <w:lvl w:ilvl="3" w:tplc="1C090001" w:tentative="1">
      <w:start w:val="1"/>
      <w:numFmt w:val="bullet"/>
      <w:pStyle w:val="Heading4"/>
      <w:lvlText w:val=""/>
      <w:lvlJc w:val="left"/>
      <w:pPr>
        <w:ind w:left="3310" w:hanging="360"/>
      </w:pPr>
      <w:rPr>
        <w:rFonts w:ascii="Symbol" w:hAnsi="Symbol" w:hint="default"/>
      </w:rPr>
    </w:lvl>
    <w:lvl w:ilvl="4" w:tplc="1C090003" w:tentative="1">
      <w:start w:val="1"/>
      <w:numFmt w:val="bullet"/>
      <w:lvlText w:val="o"/>
      <w:lvlJc w:val="left"/>
      <w:pPr>
        <w:ind w:left="4030" w:hanging="360"/>
      </w:pPr>
      <w:rPr>
        <w:rFonts w:ascii="Courier New" w:hAnsi="Courier New" w:cs="Courier New" w:hint="default"/>
      </w:rPr>
    </w:lvl>
    <w:lvl w:ilvl="5" w:tplc="1C090005" w:tentative="1">
      <w:start w:val="1"/>
      <w:numFmt w:val="bullet"/>
      <w:lvlText w:val=""/>
      <w:lvlJc w:val="left"/>
      <w:pPr>
        <w:ind w:left="4750" w:hanging="360"/>
      </w:pPr>
      <w:rPr>
        <w:rFonts w:ascii="Wingdings" w:hAnsi="Wingdings" w:hint="default"/>
      </w:rPr>
    </w:lvl>
    <w:lvl w:ilvl="6" w:tplc="1C090001" w:tentative="1">
      <w:start w:val="1"/>
      <w:numFmt w:val="bullet"/>
      <w:lvlText w:val=""/>
      <w:lvlJc w:val="left"/>
      <w:pPr>
        <w:ind w:left="5470" w:hanging="360"/>
      </w:pPr>
      <w:rPr>
        <w:rFonts w:ascii="Symbol" w:hAnsi="Symbol" w:hint="default"/>
      </w:rPr>
    </w:lvl>
    <w:lvl w:ilvl="7" w:tplc="1C090003" w:tentative="1">
      <w:start w:val="1"/>
      <w:numFmt w:val="bullet"/>
      <w:lvlText w:val="o"/>
      <w:lvlJc w:val="left"/>
      <w:pPr>
        <w:ind w:left="6190" w:hanging="360"/>
      </w:pPr>
      <w:rPr>
        <w:rFonts w:ascii="Courier New" w:hAnsi="Courier New" w:cs="Courier New" w:hint="default"/>
      </w:rPr>
    </w:lvl>
    <w:lvl w:ilvl="8" w:tplc="1C090005" w:tentative="1">
      <w:start w:val="1"/>
      <w:numFmt w:val="bullet"/>
      <w:lvlText w:val=""/>
      <w:lvlJc w:val="left"/>
      <w:pPr>
        <w:ind w:left="6910" w:hanging="360"/>
      </w:pPr>
      <w:rPr>
        <w:rFonts w:ascii="Wingdings" w:hAnsi="Wingdings" w:hint="default"/>
      </w:rPr>
    </w:lvl>
  </w:abstractNum>
  <w:abstractNum w:abstractNumId="1">
    <w:nsid w:val="279D6F75"/>
    <w:multiLevelType w:val="hybridMultilevel"/>
    <w:tmpl w:val="5A2E19A4"/>
    <w:lvl w:ilvl="0" w:tplc="04090017">
      <w:start w:val="1"/>
      <w:numFmt w:val="lowerLetter"/>
      <w:lvlText w:val="%1)"/>
      <w:lvlJc w:val="left"/>
      <w:pPr>
        <w:ind w:left="1080" w:hanging="360"/>
      </w:pPr>
      <w:rPr>
        <w:rFonts w:hint="default"/>
      </w:rPr>
    </w:lvl>
    <w:lvl w:ilvl="1" w:tplc="1C090003" w:tentative="1">
      <w:start w:val="1"/>
      <w:numFmt w:val="bullet"/>
      <w:lvlText w:val="o"/>
      <w:lvlJc w:val="left"/>
      <w:pPr>
        <w:ind w:left="1870" w:hanging="360"/>
      </w:pPr>
      <w:rPr>
        <w:rFonts w:ascii="Courier New" w:hAnsi="Courier New" w:cs="Courier New" w:hint="default"/>
      </w:rPr>
    </w:lvl>
    <w:lvl w:ilvl="2" w:tplc="1C090005" w:tentative="1">
      <w:start w:val="1"/>
      <w:numFmt w:val="bullet"/>
      <w:lvlText w:val=""/>
      <w:lvlJc w:val="left"/>
      <w:pPr>
        <w:ind w:left="2590" w:hanging="360"/>
      </w:pPr>
      <w:rPr>
        <w:rFonts w:ascii="Wingdings" w:hAnsi="Wingdings" w:hint="default"/>
      </w:rPr>
    </w:lvl>
    <w:lvl w:ilvl="3" w:tplc="1C090001" w:tentative="1">
      <w:start w:val="1"/>
      <w:numFmt w:val="bullet"/>
      <w:lvlText w:val=""/>
      <w:lvlJc w:val="left"/>
      <w:pPr>
        <w:ind w:left="3310" w:hanging="360"/>
      </w:pPr>
      <w:rPr>
        <w:rFonts w:ascii="Symbol" w:hAnsi="Symbol" w:hint="default"/>
      </w:rPr>
    </w:lvl>
    <w:lvl w:ilvl="4" w:tplc="1C090003" w:tentative="1">
      <w:start w:val="1"/>
      <w:numFmt w:val="bullet"/>
      <w:lvlText w:val="o"/>
      <w:lvlJc w:val="left"/>
      <w:pPr>
        <w:ind w:left="4030" w:hanging="360"/>
      </w:pPr>
      <w:rPr>
        <w:rFonts w:ascii="Courier New" w:hAnsi="Courier New" w:cs="Courier New" w:hint="default"/>
      </w:rPr>
    </w:lvl>
    <w:lvl w:ilvl="5" w:tplc="1C090005" w:tentative="1">
      <w:start w:val="1"/>
      <w:numFmt w:val="bullet"/>
      <w:lvlText w:val=""/>
      <w:lvlJc w:val="left"/>
      <w:pPr>
        <w:ind w:left="4750" w:hanging="360"/>
      </w:pPr>
      <w:rPr>
        <w:rFonts w:ascii="Wingdings" w:hAnsi="Wingdings" w:hint="default"/>
      </w:rPr>
    </w:lvl>
    <w:lvl w:ilvl="6" w:tplc="1C090001" w:tentative="1">
      <w:start w:val="1"/>
      <w:numFmt w:val="bullet"/>
      <w:lvlText w:val=""/>
      <w:lvlJc w:val="left"/>
      <w:pPr>
        <w:ind w:left="5470" w:hanging="360"/>
      </w:pPr>
      <w:rPr>
        <w:rFonts w:ascii="Symbol" w:hAnsi="Symbol" w:hint="default"/>
      </w:rPr>
    </w:lvl>
    <w:lvl w:ilvl="7" w:tplc="1C090003" w:tentative="1">
      <w:start w:val="1"/>
      <w:numFmt w:val="bullet"/>
      <w:lvlText w:val="o"/>
      <w:lvlJc w:val="left"/>
      <w:pPr>
        <w:ind w:left="6190" w:hanging="360"/>
      </w:pPr>
      <w:rPr>
        <w:rFonts w:ascii="Courier New" w:hAnsi="Courier New" w:cs="Courier New" w:hint="default"/>
      </w:rPr>
    </w:lvl>
    <w:lvl w:ilvl="8" w:tplc="1C090005" w:tentative="1">
      <w:start w:val="1"/>
      <w:numFmt w:val="bullet"/>
      <w:lvlText w:val=""/>
      <w:lvlJc w:val="left"/>
      <w:pPr>
        <w:ind w:left="69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4A4"/>
    <w:rsid w:val="008B551B"/>
    <w:rsid w:val="00933C84"/>
    <w:rsid w:val="00CA250B"/>
    <w:rsid w:val="00F964A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F964A4"/>
    <w:pPr>
      <w:spacing w:after="200" w:line="276" w:lineRule="auto"/>
    </w:pPr>
    <w:rPr>
      <w:rFonts w:ascii="Arial" w:hAnsi="Arial"/>
      <w:sz w:val="18"/>
      <w:lang w:val="en-ZA"/>
    </w:rPr>
  </w:style>
  <w:style w:type="paragraph" w:styleId="Heading4">
    <w:name w:val="heading 4"/>
    <w:basedOn w:val="Normal"/>
    <w:next w:val="Normal"/>
    <w:link w:val="Heading4Char"/>
    <w:qFormat/>
    <w:rsid w:val="00F964A4"/>
    <w:pPr>
      <w:keepNext/>
      <w:numPr>
        <w:ilvl w:val="3"/>
        <w:numId w:val="1"/>
      </w:numPr>
      <w:suppressAutoHyphens/>
      <w:spacing w:after="0" w:line="360" w:lineRule="auto"/>
      <w:jc w:val="both"/>
      <w:outlineLvl w:val="3"/>
    </w:pPr>
    <w:rPr>
      <w:rFonts w:eastAsia="Times New Roman" w:cs="Times New Roman"/>
      <w:b/>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964A4"/>
    <w:rPr>
      <w:rFonts w:ascii="Arial" w:eastAsia="Times New Roman" w:hAnsi="Arial" w:cs="Times New Roman"/>
      <w:b/>
      <w:sz w:val="24"/>
      <w:szCs w:val="20"/>
      <w:lang w:eastAsia="ar-SA"/>
    </w:rPr>
  </w:style>
  <w:style w:type="paragraph" w:customStyle="1" w:styleId="DACBODYTEXT">
    <w:name w:val="DAC BODY TEXT"/>
    <w:basedOn w:val="Normal"/>
    <w:qFormat/>
    <w:rsid w:val="00F964A4"/>
    <w:pPr>
      <w:ind w:left="993"/>
    </w:pPr>
    <w:rPr>
      <w:szCs w:val="18"/>
    </w:rPr>
  </w:style>
  <w:style w:type="paragraph" w:styleId="ListParagraph">
    <w:name w:val="List Paragraph"/>
    <w:basedOn w:val="Normal"/>
    <w:uiPriority w:val="34"/>
    <w:qFormat/>
    <w:rsid w:val="00F964A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2020-07-29T09:55:00Z</dcterms:created>
  <dcterms:modified xsi:type="dcterms:W3CDTF">2020-07-29T09:55:00Z</dcterms:modified>
</cp:coreProperties>
</file>