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A861D8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FC110A">
        <w:rPr>
          <w:rFonts w:ascii="Arial" w:hAnsi="Arial" w:cs="Arial"/>
          <w:b/>
          <w:bCs/>
          <w:sz w:val="24"/>
          <w:szCs w:val="24"/>
        </w:rPr>
        <w:t>. 1464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A861D8" w:rsidRDefault="00A861D8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PUBLISHED: 22 APRIL 2022</w:t>
      </w:r>
    </w:p>
    <w:p w:rsidR="00B236EF" w:rsidRP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110A" w:rsidRPr="00FC110A" w:rsidRDefault="00FC110A" w:rsidP="00FC110A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C110A">
        <w:rPr>
          <w:rFonts w:ascii="Arial" w:eastAsia="Times New Roman" w:hAnsi="Arial" w:cs="Arial"/>
          <w:b/>
          <w:sz w:val="24"/>
          <w:szCs w:val="24"/>
          <w:lang w:val="en-US"/>
        </w:rPr>
        <w:t>Mr M J Cuthbert (DA) to ask the Minister of Trade, Industry and Competition</w:t>
      </w:r>
      <w:r w:rsidR="0078645E" w:rsidRPr="00FC110A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FC110A">
        <w:rPr>
          <w:rFonts w:ascii="Arial" w:eastAsia="Times New Roman" w:hAnsi="Arial" w:cs="Arial"/>
          <w:b/>
          <w:sz w:val="24"/>
          <w:szCs w:val="24"/>
          <w:lang w:val="en-US"/>
        </w:rPr>
        <w:instrText xml:space="preserve"> XE "Trade, Industry and Competition" </w:instrText>
      </w:r>
      <w:r w:rsidR="0078645E" w:rsidRPr="00FC110A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FC110A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B236EF" w:rsidRDefault="00FC110A" w:rsidP="00FC110A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 w:rsidRPr="00DE45A5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FC110A" w:rsidRPr="00FC110A" w:rsidRDefault="00FC110A" w:rsidP="00FC110A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C110A">
        <w:rPr>
          <w:rFonts w:ascii="Arial" w:eastAsia="Calibri" w:hAnsi="Arial" w:cs="Arial"/>
          <w:sz w:val="24"/>
          <w:szCs w:val="24"/>
          <w:lang w:val="en-GB"/>
        </w:rPr>
        <w:t>Whether he will furnish Mr M J Cuthbert with the final l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ist of the beneficiaries of the </w:t>
      </w:r>
      <w:r w:rsidRPr="00FC110A">
        <w:rPr>
          <w:rFonts w:ascii="Arial" w:eastAsia="Calibri" w:hAnsi="Arial" w:cs="Arial"/>
          <w:sz w:val="24"/>
          <w:szCs w:val="24"/>
          <w:lang w:val="en-GB"/>
        </w:rPr>
        <w:t>R210 million COVID-19 Relief Fund; if not, why not; if so, what are the relevant details?  NW1782E</w:t>
      </w:r>
    </w:p>
    <w:p w:rsidR="00DE45A5" w:rsidRDefault="00DE45A5" w:rsidP="00DE45A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Default="00C3289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5D71F7" w:rsidRPr="002A0AB1" w:rsidRDefault="005D71F7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</w:pPr>
    </w:p>
    <w:p w:rsidR="002A0AB1" w:rsidRPr="002A0AB1" w:rsidRDefault="002A0AB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</w:pPr>
      <w:r w:rsidRPr="002A0AB1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I have been advised by the IDC and NEF as follows: </w:t>
      </w:r>
    </w:p>
    <w:p w:rsidR="002A0AB1" w:rsidRPr="002A0AB1" w:rsidRDefault="002A0AB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</w:pPr>
    </w:p>
    <w:p w:rsidR="00FC110A" w:rsidRDefault="00FC110A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Industrial Development Corporation (IDC)</w:t>
      </w:r>
    </w:p>
    <w:p w:rsidR="00FC110A" w:rsidRDefault="00FC110A" w:rsidP="00FC110A">
      <w:pPr>
        <w:spacing w:after="0" w:line="360" w:lineRule="auto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</w:p>
    <w:p w:rsidR="00FC110A" w:rsidRDefault="00FC110A" w:rsidP="00FC110A">
      <w:pPr>
        <w:spacing w:after="0" w:line="360" w:lineRule="auto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 w:rsidRPr="00FC110A">
        <w:rPr>
          <w:rFonts w:ascii="Arial" w:eastAsia="Calibri" w:hAnsi="Arial" w:cs="Arial"/>
          <w:sz w:val="24"/>
          <w:szCs w:val="24"/>
          <w:lang w:val="en-GB"/>
        </w:rPr>
        <w:t xml:space="preserve">The IDC set aside a R800 million fund that gave financial support to companies providing essential supplies to address the COVID-19 Pandemic. This fund includes R300 million from the Department of Trade, Industry and Competition’s Manufacturing Competitiveness Enhancement Programme (MCEP). The table below provides details of the companies supported </w:t>
      </w:r>
      <w:r w:rsidR="00170F12">
        <w:rPr>
          <w:rFonts w:ascii="Arial" w:eastAsia="Calibri" w:hAnsi="Arial" w:cs="Arial"/>
          <w:sz w:val="24"/>
          <w:szCs w:val="24"/>
          <w:lang w:val="en-GB"/>
        </w:rPr>
        <w:t>by</w:t>
      </w:r>
      <w:r w:rsidR="00170F12" w:rsidRPr="00FC11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FC110A">
        <w:rPr>
          <w:rFonts w:ascii="Arial" w:eastAsia="Calibri" w:hAnsi="Arial" w:cs="Arial"/>
          <w:sz w:val="24"/>
          <w:szCs w:val="24"/>
          <w:lang w:val="en-GB"/>
        </w:rPr>
        <w:t>the COVID Essential Supplies Fund.</w:t>
      </w:r>
    </w:p>
    <w:p w:rsidR="00FC110A" w:rsidRPr="00FC110A" w:rsidRDefault="00FC110A" w:rsidP="00FC110A">
      <w:pPr>
        <w:spacing w:after="0" w:line="360" w:lineRule="auto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W w:w="9175" w:type="dxa"/>
        <w:tblCellMar>
          <w:left w:w="0" w:type="dxa"/>
          <w:right w:w="0" w:type="dxa"/>
        </w:tblCellMar>
        <w:tblLook w:val="0600"/>
      </w:tblPr>
      <w:tblGrid>
        <w:gridCol w:w="3839"/>
        <w:gridCol w:w="1438"/>
        <w:gridCol w:w="1200"/>
        <w:gridCol w:w="1349"/>
        <w:gridCol w:w="1349"/>
      </w:tblGrid>
      <w:tr w:rsidR="00FC110A" w:rsidRPr="007527B5" w:rsidTr="007F34D5">
        <w:trPr>
          <w:trHeight w:val="20"/>
          <w:tblHeader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Applicant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MCEP Finance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IDC Finance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Total Approved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Total Disbursed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Supra Healthcare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30,000,000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100,000,000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130,000,000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130,000,000 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Alternative Living and Technical Solutions for Africa (Pty) Ltd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27,000,000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27,000,000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25,639,250 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Amka Products (Pty) Ltd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 30,000,000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120,000,000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150,000,000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150,000,000 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Pharmapac (Pty) Ltd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16,000,000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4,000,000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20,000,000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19,993,500 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Blend Tech (Pty) Ltd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30,000,000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27,000,000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57,000,000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56,875,793 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Starrate (Pty) Ltd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5,000,000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5,000,000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 5,000,000 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Maba Africa (Pty) Ltd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1,400,000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3,600,000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 5,000,000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 5,000,000 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Isondo Investments (Pty) Ltd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 1,200,000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  300,000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1,500,000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  1,500,000 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  <w:lang w:val="pl-PL"/>
              </w:rPr>
              <w:t>Crystal Pier 148 (Pty) Ltd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12,000,000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14,000,000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26,000,000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10,728,407 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Starrate (Pty) Ltd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13,000,000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13,000,000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13,000,000 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GQ Tissue Products (Pty) Ltd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13,000,000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 7,200,000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 xml:space="preserve">   20,200,000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C110A">
              <w:rPr>
                <w:rFonts w:ascii="Arial" w:hAnsi="Arial" w:cs="Arial"/>
                <w:kern w:val="24"/>
                <w:sz w:val="20"/>
                <w:szCs w:val="20"/>
              </w:rPr>
              <w:t>20,200,000</w:t>
            </w:r>
          </w:p>
        </w:tc>
      </w:tr>
      <w:tr w:rsidR="00FC110A" w:rsidRPr="007527B5" w:rsidTr="007F34D5">
        <w:trPr>
          <w:trHeight w:val="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Grand 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 137,000,000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398,531,730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535,531,730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72" w:type="dxa"/>
            </w:tcMar>
            <w:vAlign w:val="center"/>
            <w:hideMark/>
          </w:tcPr>
          <w:p w:rsidR="00FC110A" w:rsidRPr="00FC110A" w:rsidRDefault="00FC110A" w:rsidP="007F34D5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C110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437,936,950</w:t>
            </w:r>
          </w:p>
        </w:tc>
      </w:tr>
    </w:tbl>
    <w:p w:rsidR="00FC110A" w:rsidRDefault="00FC110A" w:rsidP="00FC110A"/>
    <w:p w:rsidR="00FC110A" w:rsidRPr="00D66290" w:rsidRDefault="00FC110A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60F52" w:rsidRDefault="00FC110A" w:rsidP="00B236EF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National Empowerment Fund (NEF) </w:t>
      </w:r>
    </w:p>
    <w:p w:rsidR="00FC110A" w:rsidRDefault="00FC110A" w:rsidP="00B236EF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C110A" w:rsidRDefault="00FC110A" w:rsidP="00FC110A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NEF set aside R200 million to </w:t>
      </w:r>
      <w:r w:rsidR="0060491A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financial assistance to companies that manufacture and supply essential products for Covid-19. A total of R211 million support was approved </w:t>
      </w:r>
      <w:r w:rsidR="00170F12">
        <w:rPr>
          <w:rFonts w:ascii="Arial" w:hAnsi="Arial" w:cs="Arial"/>
        </w:rPr>
        <w:t>to the following beneficiaries</w:t>
      </w:r>
      <w:r>
        <w:rPr>
          <w:rFonts w:ascii="Arial" w:hAnsi="Arial" w:cs="Arial"/>
        </w:rPr>
        <w:t>:</w:t>
      </w:r>
    </w:p>
    <w:p w:rsidR="00FC110A" w:rsidRDefault="00FC110A" w:rsidP="00B236EF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C110A" w:rsidRPr="00FC110A" w:rsidRDefault="00FC110A" w:rsidP="00B236EF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3A4AC4">
        <w:rPr>
          <w:rFonts w:ascii="Calibri" w:eastAsia="Calibri" w:hAnsi="Calibri"/>
          <w:noProof/>
          <w:lang w:eastAsia="en-ZA"/>
        </w:rPr>
        <w:drawing>
          <wp:inline distT="0" distB="0" distL="0" distR="0">
            <wp:extent cx="5760720" cy="4860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A7" w:rsidRDefault="00BB36A7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B36A7" w:rsidRDefault="00E45509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p w:rsidR="00BB36A7" w:rsidRDefault="00BB36A7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A5109" w:rsidRPr="00B236EF" w:rsidRDefault="00EA5109" w:rsidP="00E45509">
      <w:pPr>
        <w:spacing w:after="0" w:line="36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EA5109" w:rsidRPr="00B236EF" w:rsidSect="00F3392B">
      <w:headerReference w:type="default" r:id="rId10"/>
      <w:footerReference w:type="default" r:id="rId11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B7" w:rsidRDefault="00483FB7" w:rsidP="006D054B">
      <w:pPr>
        <w:spacing w:after="0" w:line="240" w:lineRule="auto"/>
      </w:pPr>
      <w:r>
        <w:separator/>
      </w:r>
    </w:p>
  </w:endnote>
  <w:endnote w:type="continuationSeparator" w:id="0">
    <w:p w:rsidR="00483FB7" w:rsidRDefault="00483FB7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78645E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483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D23FAA">
      <w:t>: NA PQ 1464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B7" w:rsidRDefault="00483FB7" w:rsidP="006D054B">
      <w:pPr>
        <w:spacing w:after="0" w:line="240" w:lineRule="auto"/>
      </w:pPr>
      <w:r>
        <w:separator/>
      </w:r>
    </w:p>
  </w:footnote>
  <w:footnote w:type="continuationSeparator" w:id="0">
    <w:p w:rsidR="00483FB7" w:rsidRDefault="00483FB7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3191E"/>
    <w:rsid w:val="00031D1F"/>
    <w:rsid w:val="00041805"/>
    <w:rsid w:val="00046D78"/>
    <w:rsid w:val="0006536D"/>
    <w:rsid w:val="00071E10"/>
    <w:rsid w:val="000B0517"/>
    <w:rsid w:val="000B2DB1"/>
    <w:rsid w:val="000C4638"/>
    <w:rsid w:val="000D3BB4"/>
    <w:rsid w:val="000D608B"/>
    <w:rsid w:val="00130895"/>
    <w:rsid w:val="0016019E"/>
    <w:rsid w:val="001602E3"/>
    <w:rsid w:val="00170F12"/>
    <w:rsid w:val="00172E12"/>
    <w:rsid w:val="00176749"/>
    <w:rsid w:val="00182352"/>
    <w:rsid w:val="001877AA"/>
    <w:rsid w:val="0019258D"/>
    <w:rsid w:val="00197D18"/>
    <w:rsid w:val="001A33E4"/>
    <w:rsid w:val="001A4E90"/>
    <w:rsid w:val="001F194E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0162"/>
    <w:rsid w:val="0028153A"/>
    <w:rsid w:val="002855D7"/>
    <w:rsid w:val="0028785A"/>
    <w:rsid w:val="0029231C"/>
    <w:rsid w:val="00294D96"/>
    <w:rsid w:val="002A0AB1"/>
    <w:rsid w:val="002A1D56"/>
    <w:rsid w:val="002A46DB"/>
    <w:rsid w:val="002A5258"/>
    <w:rsid w:val="002B0ED2"/>
    <w:rsid w:val="002C1B9E"/>
    <w:rsid w:val="002D0830"/>
    <w:rsid w:val="002D69F4"/>
    <w:rsid w:val="002E21E9"/>
    <w:rsid w:val="00301F58"/>
    <w:rsid w:val="0031644A"/>
    <w:rsid w:val="00332C21"/>
    <w:rsid w:val="00351BDA"/>
    <w:rsid w:val="003632E6"/>
    <w:rsid w:val="00383F6C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7E8B"/>
    <w:rsid w:val="004469F4"/>
    <w:rsid w:val="00483FB7"/>
    <w:rsid w:val="00484BAB"/>
    <w:rsid w:val="00484CF4"/>
    <w:rsid w:val="00493614"/>
    <w:rsid w:val="004B2BE0"/>
    <w:rsid w:val="004C432F"/>
    <w:rsid w:val="004D0F02"/>
    <w:rsid w:val="004E2E71"/>
    <w:rsid w:val="004F429F"/>
    <w:rsid w:val="004F6E62"/>
    <w:rsid w:val="00516E68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5A3A"/>
    <w:rsid w:val="00597203"/>
    <w:rsid w:val="005A5FEE"/>
    <w:rsid w:val="005C3727"/>
    <w:rsid w:val="005D3B6A"/>
    <w:rsid w:val="005D71F7"/>
    <w:rsid w:val="005E30FD"/>
    <w:rsid w:val="0060491A"/>
    <w:rsid w:val="00622A03"/>
    <w:rsid w:val="00640078"/>
    <w:rsid w:val="006420D0"/>
    <w:rsid w:val="006445D1"/>
    <w:rsid w:val="00645F45"/>
    <w:rsid w:val="006847A1"/>
    <w:rsid w:val="006932B2"/>
    <w:rsid w:val="00694349"/>
    <w:rsid w:val="006B0FE2"/>
    <w:rsid w:val="006B1132"/>
    <w:rsid w:val="006C6F31"/>
    <w:rsid w:val="006D054B"/>
    <w:rsid w:val="006E5CFB"/>
    <w:rsid w:val="00707C88"/>
    <w:rsid w:val="0072078E"/>
    <w:rsid w:val="007477F1"/>
    <w:rsid w:val="00761225"/>
    <w:rsid w:val="0078637F"/>
    <w:rsid w:val="0078645E"/>
    <w:rsid w:val="00792751"/>
    <w:rsid w:val="007B14C3"/>
    <w:rsid w:val="007B412F"/>
    <w:rsid w:val="007B7DA8"/>
    <w:rsid w:val="007D1596"/>
    <w:rsid w:val="007D1D58"/>
    <w:rsid w:val="007D2A4F"/>
    <w:rsid w:val="00803209"/>
    <w:rsid w:val="00811709"/>
    <w:rsid w:val="00833E81"/>
    <w:rsid w:val="00841350"/>
    <w:rsid w:val="008528EA"/>
    <w:rsid w:val="00853BDC"/>
    <w:rsid w:val="00855ABA"/>
    <w:rsid w:val="008634FA"/>
    <w:rsid w:val="00892467"/>
    <w:rsid w:val="00894F69"/>
    <w:rsid w:val="008A796E"/>
    <w:rsid w:val="008D06C0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9215A"/>
    <w:rsid w:val="009A0FF0"/>
    <w:rsid w:val="009C3E7C"/>
    <w:rsid w:val="009D6756"/>
    <w:rsid w:val="009D6C77"/>
    <w:rsid w:val="009F3102"/>
    <w:rsid w:val="009F4DA1"/>
    <w:rsid w:val="00A01A30"/>
    <w:rsid w:val="00A1169C"/>
    <w:rsid w:val="00A16D45"/>
    <w:rsid w:val="00A1795F"/>
    <w:rsid w:val="00A21156"/>
    <w:rsid w:val="00A46E81"/>
    <w:rsid w:val="00A557B1"/>
    <w:rsid w:val="00A81AFD"/>
    <w:rsid w:val="00A8329E"/>
    <w:rsid w:val="00A84F6F"/>
    <w:rsid w:val="00A861D8"/>
    <w:rsid w:val="00A90F17"/>
    <w:rsid w:val="00A922E1"/>
    <w:rsid w:val="00AB1371"/>
    <w:rsid w:val="00AB27A3"/>
    <w:rsid w:val="00AB6763"/>
    <w:rsid w:val="00AD1369"/>
    <w:rsid w:val="00AD5AE5"/>
    <w:rsid w:val="00AD7FCF"/>
    <w:rsid w:val="00AE418E"/>
    <w:rsid w:val="00AE6F53"/>
    <w:rsid w:val="00AF23A5"/>
    <w:rsid w:val="00AF4D35"/>
    <w:rsid w:val="00AF736F"/>
    <w:rsid w:val="00B04589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852FF"/>
    <w:rsid w:val="00B9157F"/>
    <w:rsid w:val="00BA3106"/>
    <w:rsid w:val="00BA3DD8"/>
    <w:rsid w:val="00BB36A7"/>
    <w:rsid w:val="00BB497F"/>
    <w:rsid w:val="00BB62D5"/>
    <w:rsid w:val="00BC607B"/>
    <w:rsid w:val="00C02FFC"/>
    <w:rsid w:val="00C0398D"/>
    <w:rsid w:val="00C05717"/>
    <w:rsid w:val="00C07922"/>
    <w:rsid w:val="00C1754E"/>
    <w:rsid w:val="00C23C1E"/>
    <w:rsid w:val="00C26949"/>
    <w:rsid w:val="00C32891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7044"/>
    <w:rsid w:val="00CF5C9D"/>
    <w:rsid w:val="00D23FAA"/>
    <w:rsid w:val="00D3539F"/>
    <w:rsid w:val="00D37942"/>
    <w:rsid w:val="00D410C1"/>
    <w:rsid w:val="00D462DD"/>
    <w:rsid w:val="00D52868"/>
    <w:rsid w:val="00D626FA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D60A6"/>
    <w:rsid w:val="00DE45A5"/>
    <w:rsid w:val="00DE4BB9"/>
    <w:rsid w:val="00DE6341"/>
    <w:rsid w:val="00E44BAD"/>
    <w:rsid w:val="00E45509"/>
    <w:rsid w:val="00E554C9"/>
    <w:rsid w:val="00E6096E"/>
    <w:rsid w:val="00E846E6"/>
    <w:rsid w:val="00E900D5"/>
    <w:rsid w:val="00E938A0"/>
    <w:rsid w:val="00EA2BA8"/>
    <w:rsid w:val="00EA5109"/>
    <w:rsid w:val="00EA6E2E"/>
    <w:rsid w:val="00EE05BB"/>
    <w:rsid w:val="00EE6E0C"/>
    <w:rsid w:val="00EF6351"/>
    <w:rsid w:val="00F04A3B"/>
    <w:rsid w:val="00F065DF"/>
    <w:rsid w:val="00F15796"/>
    <w:rsid w:val="00F32232"/>
    <w:rsid w:val="00F3392B"/>
    <w:rsid w:val="00F51CB8"/>
    <w:rsid w:val="00F55E3D"/>
    <w:rsid w:val="00F671DD"/>
    <w:rsid w:val="00F716B6"/>
    <w:rsid w:val="00F8074E"/>
    <w:rsid w:val="00F9020F"/>
    <w:rsid w:val="00F961ED"/>
    <w:rsid w:val="00FA285D"/>
    <w:rsid w:val="00FB765E"/>
    <w:rsid w:val="00FB7875"/>
    <w:rsid w:val="00FC110A"/>
    <w:rsid w:val="00FC3609"/>
    <w:rsid w:val="00FC502E"/>
    <w:rsid w:val="00FD0332"/>
    <w:rsid w:val="00FD7453"/>
    <w:rsid w:val="00FF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paragraph" w:styleId="Revision">
    <w:name w:val="Revision"/>
    <w:hidden/>
    <w:uiPriority w:val="99"/>
    <w:semiHidden/>
    <w:rsid w:val="00AF4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71F2-B8F5-4501-B83A-D6EAED72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2022-05-23T13:51:00Z</dcterms:created>
  <dcterms:modified xsi:type="dcterms:W3CDTF">2022-05-23T13:51:00Z</dcterms:modified>
</cp:coreProperties>
</file>