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DB47D9" w:rsidRDefault="00D33C41" w:rsidP="00DB47D9">
      <w:pPr>
        <w:spacing w:after="0" w:line="240" w:lineRule="auto"/>
        <w:jc w:val="both"/>
        <w:rPr>
          <w:rFonts w:ascii="Arial" w:eastAsia="Times New Roman" w:hAnsi="Arial" w:cs="Arial"/>
          <w:snapToGrid w:val="0"/>
          <w:color w:val="000000"/>
          <w:sz w:val="20"/>
          <w:szCs w:val="20"/>
          <w:lang w:val="en-GB"/>
        </w:rPr>
      </w:pPr>
    </w:p>
    <w:p w:rsidR="00CC32BE" w:rsidRPr="00DB47D9" w:rsidRDefault="00CC32BE" w:rsidP="00DB47D9">
      <w:pPr>
        <w:spacing w:after="0" w:line="240" w:lineRule="auto"/>
        <w:rPr>
          <w:rFonts w:ascii="Arial" w:eastAsia="Times New Roman" w:hAnsi="Arial" w:cs="Arial"/>
          <w:b/>
          <w:snapToGrid w:val="0"/>
          <w:color w:val="000000"/>
          <w:sz w:val="20"/>
          <w:szCs w:val="20"/>
          <w:lang w:val="en-GB"/>
        </w:rPr>
      </w:pPr>
      <w:r w:rsidRPr="00DB47D9">
        <w:rPr>
          <w:rFonts w:ascii="Arial" w:eastAsia="Times New Roman" w:hAnsi="Arial" w:cs="Arial"/>
          <w:b/>
          <w:snapToGrid w:val="0"/>
          <w:color w:val="000000"/>
          <w:sz w:val="20"/>
          <w:szCs w:val="20"/>
          <w:lang w:val="en-GB"/>
        </w:rPr>
        <w:t>_______________________________________</w:t>
      </w:r>
    </w:p>
    <w:p w:rsidR="00D33C41" w:rsidRPr="00DB47D9" w:rsidRDefault="00D33C41" w:rsidP="00DB47D9">
      <w:pPr>
        <w:spacing w:after="0" w:line="240" w:lineRule="auto"/>
        <w:ind w:left="720" w:hanging="720"/>
        <w:jc w:val="center"/>
        <w:outlineLvl w:val="0"/>
        <w:rPr>
          <w:rFonts w:ascii="Arial" w:eastAsia="Times New Roman" w:hAnsi="Arial" w:cs="Arial"/>
          <w:b/>
          <w:snapToGrid w:val="0"/>
          <w:color w:val="000000"/>
          <w:sz w:val="20"/>
          <w:szCs w:val="20"/>
          <w:lang w:val="en-GB"/>
        </w:rPr>
      </w:pPr>
      <w:r w:rsidRPr="00DB47D9">
        <w:rPr>
          <w:rFonts w:ascii="Arial" w:eastAsia="Times New Roman" w:hAnsi="Arial" w:cs="Arial"/>
          <w:b/>
          <w:snapToGrid w:val="0"/>
          <w:color w:val="000000"/>
          <w:sz w:val="20"/>
          <w:szCs w:val="20"/>
          <w:lang w:val="en-GB"/>
        </w:rPr>
        <w:t>NATIONAL ASSEMBLY</w:t>
      </w:r>
    </w:p>
    <w:p w:rsidR="00D33C41" w:rsidRPr="00DB47D9" w:rsidRDefault="007A7AE6" w:rsidP="00DB47D9">
      <w:pPr>
        <w:spacing w:after="0" w:line="240" w:lineRule="auto"/>
        <w:ind w:left="720" w:hanging="720"/>
        <w:jc w:val="center"/>
        <w:outlineLvl w:val="0"/>
        <w:rPr>
          <w:rFonts w:ascii="Arial" w:eastAsia="Times New Roman" w:hAnsi="Arial" w:cs="Arial"/>
          <w:b/>
          <w:snapToGrid w:val="0"/>
          <w:color w:val="000000"/>
          <w:sz w:val="20"/>
          <w:szCs w:val="20"/>
          <w:lang w:val="en-GB"/>
        </w:rPr>
      </w:pPr>
      <w:r w:rsidRPr="00DB47D9">
        <w:rPr>
          <w:rFonts w:ascii="Arial" w:eastAsia="Times New Roman" w:hAnsi="Arial" w:cs="Arial"/>
          <w:b/>
          <w:snapToGrid w:val="0"/>
          <w:color w:val="000000"/>
          <w:sz w:val="20"/>
          <w:szCs w:val="20"/>
          <w:lang w:val="en-GB"/>
        </w:rPr>
        <w:t xml:space="preserve">QUESTION FOR </w:t>
      </w:r>
      <w:r w:rsidR="0099694C" w:rsidRPr="00DB47D9">
        <w:rPr>
          <w:rFonts w:ascii="Arial" w:eastAsia="Times New Roman" w:hAnsi="Arial" w:cs="Arial"/>
          <w:b/>
          <w:snapToGrid w:val="0"/>
          <w:color w:val="000000"/>
          <w:sz w:val="20"/>
          <w:szCs w:val="20"/>
          <w:lang w:val="en-GB"/>
        </w:rPr>
        <w:t>ORAL</w:t>
      </w:r>
      <w:r w:rsidR="00D33C41" w:rsidRPr="00DB47D9">
        <w:rPr>
          <w:rFonts w:ascii="Arial" w:eastAsia="Times New Roman" w:hAnsi="Arial" w:cs="Arial"/>
          <w:b/>
          <w:snapToGrid w:val="0"/>
          <w:color w:val="000000"/>
          <w:sz w:val="20"/>
          <w:szCs w:val="20"/>
          <w:lang w:val="en-GB"/>
        </w:rPr>
        <w:t xml:space="preserve"> REPLY</w:t>
      </w:r>
    </w:p>
    <w:p w:rsidR="00D33C41" w:rsidRPr="00DB47D9" w:rsidRDefault="007A7AE6" w:rsidP="00DB47D9">
      <w:pPr>
        <w:spacing w:after="0" w:line="240" w:lineRule="auto"/>
        <w:ind w:left="720" w:hanging="720"/>
        <w:jc w:val="center"/>
        <w:outlineLvl w:val="0"/>
        <w:rPr>
          <w:rFonts w:ascii="Arial" w:eastAsia="Times New Roman" w:hAnsi="Arial" w:cs="Arial"/>
          <w:b/>
          <w:snapToGrid w:val="0"/>
          <w:sz w:val="20"/>
          <w:szCs w:val="20"/>
          <w:lang w:val="en-GB"/>
        </w:rPr>
      </w:pPr>
      <w:r w:rsidRPr="00DB47D9">
        <w:rPr>
          <w:rFonts w:ascii="Arial" w:eastAsia="Times New Roman" w:hAnsi="Arial" w:cs="Arial"/>
          <w:b/>
          <w:snapToGrid w:val="0"/>
          <w:sz w:val="20"/>
          <w:szCs w:val="20"/>
          <w:lang w:val="en-GB"/>
        </w:rPr>
        <w:t>QUESTION NUMBER:</w:t>
      </w:r>
      <w:r w:rsidRPr="00DB47D9">
        <w:rPr>
          <w:rFonts w:ascii="Arial" w:eastAsia="Times New Roman" w:hAnsi="Arial" w:cs="Arial"/>
          <w:b/>
          <w:snapToGrid w:val="0"/>
          <w:sz w:val="20"/>
          <w:szCs w:val="20"/>
          <w:lang w:val="en-GB"/>
        </w:rPr>
        <w:tab/>
      </w:r>
      <w:r w:rsidR="003F46EA" w:rsidRPr="00DB47D9">
        <w:rPr>
          <w:rFonts w:ascii="Arial" w:eastAsia="Times New Roman" w:hAnsi="Arial" w:cs="Arial"/>
          <w:b/>
          <w:snapToGrid w:val="0"/>
          <w:sz w:val="20"/>
          <w:szCs w:val="20"/>
          <w:lang w:val="en-GB"/>
        </w:rPr>
        <w:t>146</w:t>
      </w:r>
      <w:r w:rsidR="00E556BF" w:rsidRPr="00DB47D9">
        <w:rPr>
          <w:rFonts w:ascii="Arial" w:eastAsia="Times New Roman" w:hAnsi="Arial" w:cs="Arial"/>
          <w:b/>
          <w:snapToGrid w:val="0"/>
          <w:sz w:val="20"/>
          <w:szCs w:val="20"/>
          <w:lang w:val="en-GB"/>
        </w:rPr>
        <w:tab/>
      </w:r>
    </w:p>
    <w:p w:rsidR="00D33C41" w:rsidRPr="00DB47D9" w:rsidRDefault="00D33C41" w:rsidP="00DB47D9">
      <w:pPr>
        <w:spacing w:after="0" w:line="240" w:lineRule="auto"/>
        <w:jc w:val="center"/>
        <w:rPr>
          <w:rFonts w:ascii="Arial" w:eastAsia="Times New Roman" w:hAnsi="Arial" w:cs="Arial"/>
          <w:b/>
          <w:snapToGrid w:val="0"/>
          <w:sz w:val="20"/>
          <w:szCs w:val="20"/>
          <w:lang w:val="en-GB"/>
        </w:rPr>
      </w:pPr>
      <w:r w:rsidRPr="00DB47D9">
        <w:rPr>
          <w:rFonts w:ascii="Arial" w:eastAsia="Times New Roman" w:hAnsi="Arial" w:cs="Arial"/>
          <w:b/>
          <w:snapToGrid w:val="0"/>
          <w:sz w:val="20"/>
          <w:szCs w:val="20"/>
          <w:lang w:val="en-GB"/>
        </w:rPr>
        <w:t xml:space="preserve">DATE OF PUBLICATION IN INTERNAL QUESTION PAPER: </w:t>
      </w:r>
      <w:r w:rsidR="003F46EA" w:rsidRPr="00DB47D9">
        <w:rPr>
          <w:rFonts w:ascii="Arial" w:eastAsia="Times New Roman" w:hAnsi="Arial" w:cs="Arial"/>
          <w:b/>
          <w:snapToGrid w:val="0"/>
          <w:sz w:val="20"/>
          <w:szCs w:val="20"/>
          <w:lang w:val="en-GB"/>
        </w:rPr>
        <w:t>21</w:t>
      </w:r>
      <w:r w:rsidR="009E7540" w:rsidRPr="00DB47D9">
        <w:rPr>
          <w:rFonts w:ascii="Arial" w:eastAsia="Times New Roman" w:hAnsi="Arial" w:cs="Arial"/>
          <w:b/>
          <w:snapToGrid w:val="0"/>
          <w:sz w:val="20"/>
          <w:szCs w:val="20"/>
          <w:lang w:val="en-GB"/>
        </w:rPr>
        <w:t xml:space="preserve"> FEBRUARY 2020</w:t>
      </w:r>
    </w:p>
    <w:p w:rsidR="00D33C41" w:rsidRPr="00DB47D9" w:rsidRDefault="00D33C41" w:rsidP="00DB47D9">
      <w:pPr>
        <w:pBdr>
          <w:bottom w:val="single" w:sz="12" w:space="1" w:color="auto"/>
        </w:pBdr>
        <w:spacing w:after="0" w:line="240" w:lineRule="auto"/>
        <w:jc w:val="center"/>
        <w:rPr>
          <w:rFonts w:ascii="Arial" w:eastAsia="Times New Roman" w:hAnsi="Arial" w:cs="Arial"/>
          <w:b/>
          <w:snapToGrid w:val="0"/>
          <w:sz w:val="20"/>
          <w:szCs w:val="20"/>
          <w:lang w:val="en-GB"/>
        </w:rPr>
      </w:pPr>
      <w:r w:rsidRPr="00DB47D9">
        <w:rPr>
          <w:rFonts w:ascii="Arial" w:eastAsia="Times New Roman" w:hAnsi="Arial" w:cs="Arial"/>
          <w:b/>
          <w:snapToGrid w:val="0"/>
          <w:sz w:val="20"/>
          <w:szCs w:val="20"/>
          <w:lang w:val="en-GB"/>
        </w:rPr>
        <w:t xml:space="preserve">INTERNAL QUESTION PAPER NUMBER:  </w:t>
      </w:r>
      <w:r w:rsidR="009E7540" w:rsidRPr="00DB47D9">
        <w:rPr>
          <w:rFonts w:ascii="Arial" w:eastAsia="Times New Roman" w:hAnsi="Arial" w:cs="Arial"/>
          <w:b/>
          <w:snapToGrid w:val="0"/>
          <w:sz w:val="20"/>
          <w:szCs w:val="20"/>
          <w:lang w:val="en-GB"/>
        </w:rPr>
        <w:t>0</w:t>
      </w:r>
      <w:r w:rsidR="003F46EA" w:rsidRPr="00DB47D9">
        <w:rPr>
          <w:rFonts w:ascii="Arial" w:eastAsia="Times New Roman" w:hAnsi="Arial" w:cs="Arial"/>
          <w:b/>
          <w:snapToGrid w:val="0"/>
          <w:sz w:val="20"/>
          <w:szCs w:val="20"/>
          <w:lang w:val="en-GB"/>
        </w:rPr>
        <w:t>2</w:t>
      </w:r>
      <w:r w:rsidR="009E7540" w:rsidRPr="00DB47D9">
        <w:rPr>
          <w:rFonts w:ascii="Arial" w:eastAsia="Times New Roman" w:hAnsi="Arial" w:cs="Arial"/>
          <w:b/>
          <w:snapToGrid w:val="0"/>
          <w:sz w:val="20"/>
          <w:szCs w:val="20"/>
          <w:lang w:val="en-GB"/>
        </w:rPr>
        <w:t xml:space="preserve"> - 2020</w:t>
      </w:r>
    </w:p>
    <w:p w:rsidR="00DB47D9" w:rsidRDefault="00DB47D9" w:rsidP="00DB47D9">
      <w:pPr>
        <w:spacing w:after="0" w:line="240" w:lineRule="auto"/>
        <w:ind w:left="720" w:hanging="720"/>
        <w:jc w:val="both"/>
        <w:outlineLvl w:val="0"/>
        <w:rPr>
          <w:rFonts w:ascii="Arial" w:eastAsia="Times New Roman" w:hAnsi="Arial" w:cs="Arial"/>
          <w:b/>
          <w:sz w:val="20"/>
          <w:szCs w:val="20"/>
          <w:lang w:val="en-US"/>
        </w:rPr>
      </w:pPr>
    </w:p>
    <w:p w:rsidR="002B5DEF" w:rsidRDefault="002B5DEF" w:rsidP="00DB47D9">
      <w:pPr>
        <w:spacing w:after="0" w:line="240" w:lineRule="auto"/>
        <w:ind w:left="720" w:hanging="720"/>
        <w:jc w:val="both"/>
        <w:outlineLvl w:val="0"/>
        <w:rPr>
          <w:rFonts w:ascii="Arial" w:eastAsia="Times New Roman" w:hAnsi="Arial" w:cs="Arial"/>
          <w:b/>
          <w:sz w:val="20"/>
          <w:szCs w:val="20"/>
          <w:lang w:val="en-US"/>
        </w:rPr>
      </w:pPr>
      <w:r w:rsidRPr="00DB47D9">
        <w:rPr>
          <w:rFonts w:ascii="Arial" w:eastAsia="Times New Roman" w:hAnsi="Arial" w:cs="Arial"/>
          <w:b/>
          <w:sz w:val="20"/>
          <w:szCs w:val="20"/>
          <w:lang w:val="en-US"/>
        </w:rPr>
        <w:t>146.</w:t>
      </w:r>
      <w:r w:rsidRPr="00DB47D9">
        <w:rPr>
          <w:rFonts w:ascii="Arial" w:eastAsia="Times New Roman" w:hAnsi="Arial" w:cs="Arial"/>
          <w:b/>
          <w:sz w:val="20"/>
          <w:szCs w:val="20"/>
          <w:lang w:val="en-US"/>
        </w:rPr>
        <w:tab/>
        <w:t xml:space="preserve">Ms B S </w:t>
      </w:r>
      <w:r w:rsidRPr="00DB47D9">
        <w:rPr>
          <w:rFonts w:ascii="Arial" w:hAnsi="Arial" w:cs="Arial"/>
          <w:b/>
          <w:sz w:val="20"/>
          <w:szCs w:val="20"/>
        </w:rPr>
        <w:t>Masango</w:t>
      </w:r>
      <w:r w:rsidRPr="00DB47D9">
        <w:rPr>
          <w:rFonts w:ascii="Arial" w:eastAsia="Times New Roman" w:hAnsi="Arial" w:cs="Arial"/>
          <w:b/>
          <w:sz w:val="20"/>
          <w:szCs w:val="20"/>
          <w:lang w:val="en-US"/>
        </w:rPr>
        <w:t xml:space="preserve"> (DA) to ask the Minister of Social Development</w:t>
      </w:r>
      <w:r w:rsidR="009F5DD1" w:rsidRPr="00DB47D9">
        <w:rPr>
          <w:rFonts w:ascii="Arial" w:eastAsia="Times New Roman" w:hAnsi="Arial" w:cs="Arial"/>
          <w:b/>
          <w:sz w:val="20"/>
          <w:szCs w:val="20"/>
          <w:lang w:val="en-US"/>
        </w:rPr>
        <w:fldChar w:fldCharType="begin"/>
      </w:r>
      <w:r w:rsidRPr="00DB47D9">
        <w:rPr>
          <w:rFonts w:ascii="Arial" w:hAnsi="Arial" w:cs="Arial"/>
          <w:sz w:val="20"/>
          <w:szCs w:val="20"/>
        </w:rPr>
        <w:instrText xml:space="preserve"> XE "</w:instrText>
      </w:r>
      <w:r w:rsidRPr="00DB47D9">
        <w:rPr>
          <w:rFonts w:ascii="Arial" w:eastAsia="Times New Roman" w:hAnsi="Arial" w:cs="Arial"/>
          <w:b/>
          <w:sz w:val="20"/>
          <w:szCs w:val="20"/>
          <w:lang w:val="en-US"/>
        </w:rPr>
        <w:instrText>Social Development</w:instrText>
      </w:r>
      <w:r w:rsidRPr="00DB47D9">
        <w:rPr>
          <w:rFonts w:ascii="Arial" w:hAnsi="Arial" w:cs="Arial"/>
          <w:sz w:val="20"/>
          <w:szCs w:val="20"/>
        </w:rPr>
        <w:instrText xml:space="preserve">" </w:instrText>
      </w:r>
      <w:r w:rsidR="009F5DD1" w:rsidRPr="00DB47D9">
        <w:rPr>
          <w:rFonts w:ascii="Arial" w:eastAsia="Times New Roman" w:hAnsi="Arial" w:cs="Arial"/>
          <w:b/>
          <w:sz w:val="20"/>
          <w:szCs w:val="20"/>
          <w:lang w:val="en-US"/>
        </w:rPr>
        <w:fldChar w:fldCharType="end"/>
      </w:r>
      <w:r w:rsidRPr="00DB47D9">
        <w:rPr>
          <w:rFonts w:ascii="Arial" w:eastAsia="Times New Roman" w:hAnsi="Arial" w:cs="Arial"/>
          <w:b/>
          <w:sz w:val="20"/>
          <w:szCs w:val="20"/>
          <w:lang w:val="en-US"/>
        </w:rPr>
        <w:t>:</w:t>
      </w:r>
    </w:p>
    <w:p w:rsidR="00DB47D9" w:rsidRPr="00DB47D9" w:rsidRDefault="00DB47D9" w:rsidP="00DB47D9">
      <w:pPr>
        <w:spacing w:after="0" w:line="240" w:lineRule="auto"/>
        <w:ind w:left="720" w:hanging="720"/>
        <w:jc w:val="both"/>
        <w:outlineLvl w:val="0"/>
        <w:rPr>
          <w:rFonts w:ascii="Arial" w:eastAsia="Times New Roman" w:hAnsi="Arial" w:cs="Arial"/>
          <w:sz w:val="20"/>
          <w:szCs w:val="20"/>
          <w:lang w:val="en-US"/>
        </w:rPr>
      </w:pPr>
    </w:p>
    <w:p w:rsidR="002B5DEF" w:rsidRPr="00DB47D9" w:rsidRDefault="002B5DEF" w:rsidP="00DB47D9">
      <w:pPr>
        <w:spacing w:after="0" w:line="240" w:lineRule="auto"/>
        <w:ind w:left="720" w:hanging="720"/>
        <w:jc w:val="both"/>
        <w:rPr>
          <w:rFonts w:ascii="Arial" w:eastAsia="Times New Roman" w:hAnsi="Arial" w:cs="Arial"/>
          <w:color w:val="000000"/>
          <w:sz w:val="20"/>
          <w:szCs w:val="20"/>
          <w:lang w:val="en-US" w:eastAsia="en-ZA"/>
        </w:rPr>
      </w:pPr>
      <w:r w:rsidRPr="00DB47D9">
        <w:rPr>
          <w:rFonts w:ascii="Arial" w:eastAsia="Times New Roman" w:hAnsi="Arial" w:cs="Arial"/>
          <w:sz w:val="20"/>
          <w:szCs w:val="20"/>
          <w:lang w:val="en-US"/>
        </w:rPr>
        <w:t>(1)</w:t>
      </w:r>
      <w:r w:rsidRPr="00DB47D9">
        <w:rPr>
          <w:rFonts w:ascii="Arial" w:eastAsia="Times New Roman" w:hAnsi="Arial" w:cs="Arial"/>
          <w:sz w:val="20"/>
          <w:szCs w:val="20"/>
          <w:lang w:val="en-US"/>
        </w:rPr>
        <w:tab/>
      </w:r>
      <w:r w:rsidRPr="00DB47D9">
        <w:rPr>
          <w:rFonts w:ascii="Arial" w:eastAsia="Times New Roman" w:hAnsi="Arial" w:cs="Arial"/>
          <w:color w:val="000000"/>
          <w:sz w:val="20"/>
          <w:szCs w:val="20"/>
          <w:lang w:val="en-US" w:eastAsia="en-ZA"/>
        </w:rPr>
        <w:t xml:space="preserve">Whether her department is planning to introduce an alternative for the cash pay-points for the approximately 200 000 beneficiaries of SA Social Security grants who are </w:t>
      </w:r>
      <w:r w:rsidRPr="00DB47D9">
        <w:rPr>
          <w:rFonts w:ascii="Arial" w:hAnsi="Arial" w:cs="Arial"/>
          <w:sz w:val="20"/>
          <w:szCs w:val="20"/>
        </w:rPr>
        <w:t>still</w:t>
      </w:r>
      <w:r w:rsidRPr="00DB47D9">
        <w:rPr>
          <w:rFonts w:ascii="Arial" w:eastAsia="Times New Roman" w:hAnsi="Arial" w:cs="Arial"/>
          <w:color w:val="000000"/>
          <w:sz w:val="20"/>
          <w:szCs w:val="20"/>
          <w:lang w:val="en-US" w:eastAsia="en-ZA"/>
        </w:rPr>
        <w:t xml:space="preserve"> paid cash at pay-points; if so, (a) what are the alternatives and (b) on what date will they be introduced;</w:t>
      </w:r>
    </w:p>
    <w:p w:rsidR="002B5DEF" w:rsidRPr="00DB47D9" w:rsidRDefault="002B5DEF" w:rsidP="00DB47D9">
      <w:pPr>
        <w:spacing w:after="0" w:line="240" w:lineRule="auto"/>
        <w:ind w:left="720" w:hanging="720"/>
        <w:jc w:val="both"/>
        <w:rPr>
          <w:rFonts w:ascii="Arial" w:hAnsi="Arial" w:cs="Arial"/>
          <w:sz w:val="20"/>
          <w:szCs w:val="20"/>
        </w:rPr>
      </w:pPr>
      <w:r w:rsidRPr="00DB47D9">
        <w:rPr>
          <w:rFonts w:ascii="Arial" w:eastAsia="Times New Roman" w:hAnsi="Arial" w:cs="Arial"/>
          <w:color w:val="000000"/>
          <w:sz w:val="20"/>
          <w:szCs w:val="20"/>
          <w:lang w:val="en-US" w:eastAsia="en-ZA"/>
        </w:rPr>
        <w:t>(2)</w:t>
      </w:r>
      <w:r w:rsidRPr="00DB47D9">
        <w:rPr>
          <w:rFonts w:ascii="Arial" w:eastAsia="Times New Roman" w:hAnsi="Arial" w:cs="Arial"/>
          <w:color w:val="000000"/>
          <w:sz w:val="20"/>
          <w:szCs w:val="20"/>
          <w:lang w:val="en-US" w:eastAsia="en-ZA"/>
        </w:rPr>
        <w:tab/>
        <w:t xml:space="preserve">what (a) are the names of all the cash-in-transit companies that SA Post Office (i) has </w:t>
      </w:r>
      <w:r w:rsidRPr="00DB47D9">
        <w:rPr>
          <w:rFonts w:ascii="Arial" w:hAnsi="Arial" w:cs="Arial"/>
          <w:sz w:val="20"/>
          <w:szCs w:val="20"/>
        </w:rPr>
        <w:t>used</w:t>
      </w:r>
      <w:r w:rsidRPr="00DB47D9">
        <w:rPr>
          <w:rFonts w:ascii="Arial" w:eastAsia="Times New Roman" w:hAnsi="Arial" w:cs="Arial"/>
          <w:color w:val="000000"/>
          <w:sz w:val="20"/>
          <w:szCs w:val="20"/>
          <w:lang w:val="en-US" w:eastAsia="en-ZA"/>
        </w:rPr>
        <w:t xml:space="preserve"> and (ii) is currently using to deliver cash for social grants at cash pay-points and (b) process was followed to procure the services of each of these companies?</w:t>
      </w:r>
      <w:r w:rsidRPr="00DB47D9">
        <w:rPr>
          <w:rFonts w:ascii="Arial" w:eastAsia="Times New Roman" w:hAnsi="Arial" w:cs="Arial"/>
          <w:sz w:val="20"/>
          <w:szCs w:val="20"/>
          <w:lang w:val="af-ZA"/>
        </w:rPr>
        <w:tab/>
      </w:r>
      <w:r w:rsidRPr="00DB47D9">
        <w:rPr>
          <w:rFonts w:ascii="Arial" w:eastAsia="Times New Roman" w:hAnsi="Arial" w:cs="Arial"/>
          <w:sz w:val="20"/>
          <w:szCs w:val="20"/>
          <w:lang w:val="af-ZA"/>
        </w:rPr>
        <w:tab/>
      </w:r>
      <w:r w:rsidRPr="00DB47D9">
        <w:rPr>
          <w:rFonts w:ascii="Arial" w:eastAsia="Times New Roman" w:hAnsi="Arial" w:cs="Arial"/>
          <w:sz w:val="20"/>
          <w:szCs w:val="20"/>
          <w:lang w:val="af-ZA"/>
        </w:rPr>
        <w:tab/>
      </w:r>
      <w:r w:rsidRPr="00DB47D9">
        <w:rPr>
          <w:rFonts w:ascii="Arial" w:eastAsia="Times New Roman" w:hAnsi="Arial" w:cs="Arial"/>
          <w:sz w:val="20"/>
          <w:szCs w:val="20"/>
          <w:lang w:val="af-ZA"/>
        </w:rPr>
        <w:tab/>
      </w:r>
      <w:r w:rsidRPr="00DB47D9">
        <w:rPr>
          <w:rFonts w:ascii="Arial" w:eastAsia="Times New Roman" w:hAnsi="Arial" w:cs="Arial"/>
          <w:sz w:val="20"/>
          <w:szCs w:val="20"/>
          <w:lang w:val="af-ZA"/>
        </w:rPr>
        <w:tab/>
      </w:r>
      <w:r w:rsidRPr="00DB47D9">
        <w:rPr>
          <w:rFonts w:ascii="Arial" w:eastAsia="Times New Roman" w:hAnsi="Arial" w:cs="Arial"/>
          <w:sz w:val="20"/>
          <w:szCs w:val="20"/>
          <w:lang w:val="af-ZA"/>
        </w:rPr>
        <w:tab/>
      </w:r>
      <w:r w:rsidRPr="00DB47D9">
        <w:rPr>
          <w:rFonts w:ascii="Arial" w:eastAsia="Times New Roman" w:hAnsi="Arial" w:cs="Arial"/>
          <w:sz w:val="20"/>
          <w:szCs w:val="20"/>
          <w:lang w:val="af-ZA"/>
        </w:rPr>
        <w:tab/>
      </w:r>
      <w:r w:rsidRPr="00DB47D9">
        <w:rPr>
          <w:rFonts w:ascii="Arial" w:eastAsia="Times New Roman" w:hAnsi="Arial" w:cs="Arial"/>
          <w:sz w:val="20"/>
          <w:szCs w:val="20"/>
          <w:lang w:val="af-ZA"/>
        </w:rPr>
        <w:tab/>
        <w:t>NW167E</w:t>
      </w:r>
    </w:p>
    <w:p w:rsidR="008E254E" w:rsidRPr="00DB47D9" w:rsidRDefault="008E254E" w:rsidP="00DB47D9">
      <w:pPr>
        <w:spacing w:after="0" w:line="240" w:lineRule="auto"/>
        <w:jc w:val="both"/>
        <w:rPr>
          <w:rFonts w:ascii="Arial" w:hAnsi="Arial" w:cs="Arial"/>
          <w:sz w:val="20"/>
          <w:szCs w:val="20"/>
        </w:rPr>
      </w:pPr>
    </w:p>
    <w:p w:rsidR="008E254E" w:rsidRDefault="008E254E" w:rsidP="00DB47D9">
      <w:pPr>
        <w:spacing w:after="0" w:line="240" w:lineRule="auto"/>
        <w:jc w:val="both"/>
        <w:rPr>
          <w:rFonts w:ascii="Arial" w:hAnsi="Arial" w:cs="Arial"/>
          <w:b/>
          <w:snapToGrid w:val="0"/>
          <w:color w:val="000000"/>
          <w:sz w:val="20"/>
          <w:szCs w:val="20"/>
        </w:rPr>
      </w:pPr>
      <w:r w:rsidRPr="00DB47D9">
        <w:rPr>
          <w:rFonts w:ascii="Arial" w:hAnsi="Arial" w:cs="Arial"/>
          <w:b/>
          <w:snapToGrid w:val="0"/>
          <w:color w:val="000000"/>
          <w:sz w:val="20"/>
          <w:szCs w:val="20"/>
        </w:rPr>
        <w:t>REPLY:</w:t>
      </w:r>
    </w:p>
    <w:p w:rsidR="00DB47D9" w:rsidRPr="00DB47D9" w:rsidRDefault="00DB47D9" w:rsidP="00DB47D9">
      <w:pPr>
        <w:spacing w:after="0" w:line="240" w:lineRule="auto"/>
        <w:jc w:val="both"/>
        <w:rPr>
          <w:rFonts w:ascii="Arial" w:hAnsi="Arial" w:cs="Arial"/>
          <w:b/>
          <w:snapToGrid w:val="0"/>
          <w:color w:val="000000"/>
          <w:sz w:val="20"/>
          <w:szCs w:val="20"/>
        </w:rPr>
      </w:pPr>
    </w:p>
    <w:p w:rsidR="008E254E" w:rsidRPr="00DB47D9" w:rsidRDefault="008E254E" w:rsidP="00DB47D9">
      <w:pPr>
        <w:spacing w:after="0" w:line="240" w:lineRule="auto"/>
        <w:ind w:left="900" w:hanging="900"/>
        <w:rPr>
          <w:rFonts w:ascii="Arial" w:hAnsi="Arial" w:cs="Arial"/>
          <w:snapToGrid w:val="0"/>
          <w:color w:val="000000"/>
          <w:sz w:val="20"/>
          <w:szCs w:val="20"/>
        </w:rPr>
      </w:pPr>
      <w:r w:rsidRPr="00DB47D9">
        <w:rPr>
          <w:rFonts w:ascii="Arial" w:hAnsi="Arial" w:cs="Arial"/>
          <w:snapToGrid w:val="0"/>
          <w:color w:val="000000"/>
          <w:sz w:val="20"/>
          <w:szCs w:val="20"/>
        </w:rPr>
        <w:t>1(a)</w:t>
      </w:r>
      <w:r w:rsidRPr="00DB47D9">
        <w:rPr>
          <w:rFonts w:ascii="Arial" w:hAnsi="Arial" w:cs="Arial"/>
          <w:snapToGrid w:val="0"/>
          <w:color w:val="000000"/>
          <w:sz w:val="20"/>
          <w:szCs w:val="20"/>
        </w:rPr>
        <w:tab/>
        <w:t>SASSA, working together with SAPO, is still exploring possible alternatives to the cash pay points.  No final decision has been made yet and no date has been set for implementation.</w:t>
      </w:r>
    </w:p>
    <w:p w:rsidR="008E254E" w:rsidRPr="00DB47D9" w:rsidRDefault="008E254E" w:rsidP="00DB47D9">
      <w:pPr>
        <w:spacing w:after="0" w:line="240" w:lineRule="auto"/>
        <w:jc w:val="both"/>
        <w:rPr>
          <w:rFonts w:ascii="Arial" w:hAnsi="Arial" w:cs="Arial"/>
          <w:snapToGrid w:val="0"/>
          <w:color w:val="000000"/>
          <w:sz w:val="20"/>
          <w:szCs w:val="20"/>
        </w:rPr>
      </w:pPr>
    </w:p>
    <w:p w:rsidR="008E254E" w:rsidRPr="00DB47D9" w:rsidRDefault="008E254E" w:rsidP="00DB47D9">
      <w:pPr>
        <w:spacing w:after="0" w:line="240" w:lineRule="auto"/>
        <w:ind w:left="900" w:hanging="810"/>
        <w:jc w:val="both"/>
        <w:rPr>
          <w:rFonts w:ascii="Arial" w:hAnsi="Arial" w:cs="Arial"/>
          <w:snapToGrid w:val="0"/>
          <w:color w:val="000000"/>
          <w:sz w:val="20"/>
          <w:szCs w:val="20"/>
        </w:rPr>
      </w:pPr>
      <w:r w:rsidRPr="00DB47D9">
        <w:rPr>
          <w:rFonts w:ascii="Arial" w:hAnsi="Arial" w:cs="Arial"/>
          <w:snapToGrid w:val="0"/>
          <w:color w:val="000000"/>
          <w:sz w:val="20"/>
          <w:szCs w:val="20"/>
        </w:rPr>
        <w:t>(b)</w:t>
      </w:r>
      <w:r w:rsidRPr="00DB47D9">
        <w:rPr>
          <w:rFonts w:ascii="Arial" w:hAnsi="Arial" w:cs="Arial"/>
          <w:snapToGrid w:val="0"/>
          <w:color w:val="000000"/>
          <w:sz w:val="20"/>
          <w:szCs w:val="20"/>
        </w:rPr>
        <w:tab/>
        <w:t>All parties involved in the grant payment process agree that it is important that we move away from cash payments due to the security issues and the high cost of delivering cash to pay points. The only viable alternative that is been seriously considered is exploring the move to existing and future cashless payment platforms such as more use of cards at ATMs, Point of Sale platforms and Mobile solutions. No alternative payment channel will be introduced until it has been tested and confirmed that it is fit for purpose.</w:t>
      </w:r>
    </w:p>
    <w:p w:rsidR="008E254E" w:rsidRPr="00DB47D9" w:rsidRDefault="008E254E" w:rsidP="00DB47D9">
      <w:pPr>
        <w:spacing w:after="0" w:line="240" w:lineRule="auto"/>
        <w:jc w:val="both"/>
        <w:rPr>
          <w:rFonts w:ascii="Arial" w:hAnsi="Arial" w:cs="Arial"/>
          <w:snapToGrid w:val="0"/>
          <w:color w:val="000000"/>
          <w:sz w:val="20"/>
          <w:szCs w:val="20"/>
        </w:rPr>
      </w:pPr>
    </w:p>
    <w:p w:rsidR="008E254E" w:rsidRPr="00DB47D9" w:rsidRDefault="008E254E" w:rsidP="00DB47D9">
      <w:pPr>
        <w:spacing w:after="0" w:line="240" w:lineRule="auto"/>
        <w:ind w:left="720" w:hanging="994"/>
        <w:jc w:val="both"/>
        <w:rPr>
          <w:rFonts w:ascii="Arial" w:hAnsi="Arial" w:cs="Arial"/>
          <w:snapToGrid w:val="0"/>
          <w:color w:val="000000"/>
          <w:sz w:val="20"/>
          <w:szCs w:val="20"/>
        </w:rPr>
      </w:pPr>
      <w:r w:rsidRPr="00DB47D9">
        <w:rPr>
          <w:rFonts w:ascii="Arial" w:hAnsi="Arial" w:cs="Arial"/>
          <w:snapToGrid w:val="0"/>
          <w:color w:val="000000"/>
          <w:sz w:val="20"/>
          <w:szCs w:val="20"/>
        </w:rPr>
        <w:t>2(a)</w:t>
      </w:r>
      <w:r w:rsidRPr="00DB47D9">
        <w:rPr>
          <w:rFonts w:ascii="Arial" w:hAnsi="Arial" w:cs="Arial"/>
          <w:snapToGrid w:val="0"/>
          <w:color w:val="000000"/>
          <w:sz w:val="20"/>
          <w:szCs w:val="20"/>
        </w:rPr>
        <w:tab/>
      </w:r>
      <w:r w:rsidR="006707C9" w:rsidRPr="00DB47D9">
        <w:rPr>
          <w:rFonts w:ascii="Arial" w:hAnsi="Arial" w:cs="Arial"/>
          <w:snapToGrid w:val="0"/>
          <w:color w:val="000000"/>
          <w:sz w:val="20"/>
          <w:szCs w:val="20"/>
        </w:rPr>
        <w:t>(i) and (ii)</w:t>
      </w:r>
      <w:r w:rsidR="006707C9" w:rsidRPr="00DB47D9">
        <w:rPr>
          <w:rFonts w:ascii="Arial" w:hAnsi="Arial" w:cs="Arial"/>
          <w:snapToGrid w:val="0"/>
          <w:color w:val="000000"/>
          <w:sz w:val="20"/>
          <w:szCs w:val="20"/>
        </w:rPr>
        <w:tab/>
      </w:r>
      <w:r w:rsidRPr="00DB47D9">
        <w:rPr>
          <w:rFonts w:ascii="Arial" w:hAnsi="Arial" w:cs="Arial"/>
          <w:snapToGrid w:val="0"/>
          <w:color w:val="000000"/>
          <w:sz w:val="20"/>
          <w:szCs w:val="20"/>
        </w:rPr>
        <w:t>SAPO uses Fidelity Security Service (Pty) Ltd to pay beneficiaries at Cash Pay Points.</w:t>
      </w:r>
    </w:p>
    <w:p w:rsidR="008E254E" w:rsidRPr="00DB47D9" w:rsidRDefault="008E254E" w:rsidP="00DB47D9">
      <w:pPr>
        <w:spacing w:after="0" w:line="240" w:lineRule="auto"/>
        <w:ind w:left="720" w:hanging="900"/>
        <w:jc w:val="both"/>
        <w:rPr>
          <w:rFonts w:ascii="Arial" w:hAnsi="Arial" w:cs="Arial"/>
          <w:snapToGrid w:val="0"/>
          <w:color w:val="000000"/>
          <w:sz w:val="20"/>
          <w:szCs w:val="20"/>
        </w:rPr>
      </w:pPr>
    </w:p>
    <w:p w:rsidR="008E254E" w:rsidRPr="00DB47D9" w:rsidRDefault="008E254E" w:rsidP="00DB47D9">
      <w:pPr>
        <w:spacing w:after="0" w:line="240" w:lineRule="auto"/>
        <w:ind w:left="720" w:hanging="720"/>
        <w:jc w:val="both"/>
        <w:rPr>
          <w:rFonts w:ascii="Arial" w:hAnsi="Arial" w:cs="Arial"/>
          <w:snapToGrid w:val="0"/>
          <w:color w:val="000000"/>
          <w:sz w:val="20"/>
          <w:szCs w:val="20"/>
        </w:rPr>
      </w:pPr>
      <w:r w:rsidRPr="00DB47D9">
        <w:rPr>
          <w:rFonts w:ascii="Arial" w:hAnsi="Arial" w:cs="Arial"/>
          <w:snapToGrid w:val="0"/>
          <w:color w:val="000000"/>
          <w:sz w:val="20"/>
          <w:szCs w:val="20"/>
        </w:rPr>
        <w:t>(b)</w:t>
      </w:r>
      <w:r w:rsidRPr="00DB47D9">
        <w:rPr>
          <w:rFonts w:ascii="Arial" w:hAnsi="Arial" w:cs="Arial"/>
          <w:snapToGrid w:val="0"/>
          <w:color w:val="000000"/>
          <w:sz w:val="20"/>
          <w:szCs w:val="20"/>
        </w:rPr>
        <w:tab/>
        <w:t>Two Requests for Proposals (RFPs) were issued to appoint a service provider for the provision of cash at pay points:</w:t>
      </w:r>
    </w:p>
    <w:p w:rsidR="006707C9" w:rsidRPr="00DB47D9" w:rsidRDefault="006707C9" w:rsidP="00DB47D9">
      <w:pPr>
        <w:spacing w:after="0" w:line="240" w:lineRule="auto"/>
        <w:ind w:left="720"/>
        <w:jc w:val="both"/>
        <w:rPr>
          <w:rFonts w:ascii="Arial" w:hAnsi="Arial" w:cs="Arial"/>
          <w:b/>
          <w:snapToGrid w:val="0"/>
          <w:color w:val="000000"/>
          <w:sz w:val="20"/>
          <w:szCs w:val="20"/>
        </w:rPr>
      </w:pPr>
    </w:p>
    <w:p w:rsidR="008E254E" w:rsidRPr="00DB47D9" w:rsidRDefault="008E254E" w:rsidP="00DB47D9">
      <w:pPr>
        <w:spacing w:after="0" w:line="240" w:lineRule="auto"/>
        <w:ind w:left="720"/>
        <w:jc w:val="both"/>
        <w:rPr>
          <w:rFonts w:ascii="Arial" w:hAnsi="Arial" w:cs="Arial"/>
          <w:b/>
          <w:snapToGrid w:val="0"/>
          <w:color w:val="000000"/>
          <w:sz w:val="20"/>
          <w:szCs w:val="20"/>
        </w:rPr>
      </w:pPr>
      <w:r w:rsidRPr="00DB47D9">
        <w:rPr>
          <w:rFonts w:ascii="Arial" w:hAnsi="Arial" w:cs="Arial"/>
          <w:b/>
          <w:snapToGrid w:val="0"/>
          <w:color w:val="000000"/>
          <w:sz w:val="20"/>
          <w:szCs w:val="20"/>
        </w:rPr>
        <w:t xml:space="preserve">Interim Solution </w:t>
      </w:r>
    </w:p>
    <w:p w:rsidR="008E254E" w:rsidRPr="00DB47D9" w:rsidRDefault="008E254E" w:rsidP="00DB47D9">
      <w:pPr>
        <w:spacing w:after="0" w:line="240" w:lineRule="auto"/>
        <w:ind w:left="720"/>
        <w:jc w:val="both"/>
        <w:rPr>
          <w:rFonts w:ascii="Arial" w:hAnsi="Arial" w:cs="Arial"/>
          <w:snapToGrid w:val="0"/>
          <w:color w:val="000000"/>
          <w:sz w:val="20"/>
          <w:szCs w:val="20"/>
        </w:rPr>
      </w:pPr>
      <w:r w:rsidRPr="00DB47D9">
        <w:rPr>
          <w:rFonts w:ascii="Arial" w:hAnsi="Arial" w:cs="Arial"/>
          <w:snapToGrid w:val="0"/>
          <w:color w:val="000000"/>
          <w:sz w:val="20"/>
          <w:szCs w:val="20"/>
        </w:rPr>
        <w:t xml:space="preserve">RFP/26/18/19/ Cash Conveyance and Handling/RA – this RFP was issued as an interim measure (using cash bags) whilst the long -time process (using cash dispensers) was in the process. </w:t>
      </w:r>
    </w:p>
    <w:p w:rsidR="008E254E" w:rsidRPr="00DB47D9" w:rsidRDefault="008E254E" w:rsidP="00DB47D9">
      <w:pPr>
        <w:spacing w:after="0" w:line="240" w:lineRule="auto"/>
        <w:ind w:left="810"/>
        <w:jc w:val="both"/>
        <w:rPr>
          <w:rFonts w:ascii="Arial" w:hAnsi="Arial" w:cs="Arial"/>
          <w:snapToGrid w:val="0"/>
          <w:color w:val="000000"/>
          <w:sz w:val="20"/>
          <w:szCs w:val="20"/>
        </w:rPr>
      </w:pPr>
      <w:r w:rsidRPr="00DB47D9">
        <w:rPr>
          <w:rFonts w:ascii="Arial" w:hAnsi="Arial" w:cs="Arial"/>
          <w:snapToGrid w:val="0"/>
          <w:color w:val="000000"/>
          <w:sz w:val="20"/>
          <w:szCs w:val="20"/>
        </w:rPr>
        <w:t>A close RFP was issued on 16 August 2018 to five companies. The close bid process was approved by National Treasury. Four of the five companies that were invited indicated that they will not participate in the RFP process some indicating that they did not have the capacity to provide the service.</w:t>
      </w:r>
    </w:p>
    <w:p w:rsidR="008E254E" w:rsidRPr="00DB47D9" w:rsidRDefault="008E254E" w:rsidP="00DB47D9">
      <w:pPr>
        <w:spacing w:after="0" w:line="240" w:lineRule="auto"/>
        <w:ind w:left="810"/>
        <w:jc w:val="both"/>
        <w:rPr>
          <w:rFonts w:ascii="Arial" w:hAnsi="Arial" w:cs="Arial"/>
          <w:snapToGrid w:val="0"/>
          <w:color w:val="000000"/>
          <w:sz w:val="20"/>
          <w:szCs w:val="20"/>
        </w:rPr>
      </w:pPr>
      <w:r w:rsidRPr="00DB47D9">
        <w:rPr>
          <w:rFonts w:ascii="Arial" w:hAnsi="Arial" w:cs="Arial"/>
          <w:snapToGrid w:val="0"/>
          <w:color w:val="000000"/>
          <w:sz w:val="20"/>
          <w:szCs w:val="20"/>
        </w:rPr>
        <w:t>Fidelity Security Services (Pty) Ltd was the only bidder that responded and the tender was awarded to them. The contract was for a period of six months commencing from 1 October 2018 up until 31 March 2019 to allow for the long-term solution to be finalised.</w:t>
      </w:r>
    </w:p>
    <w:p w:rsidR="008E254E" w:rsidRPr="00DB47D9" w:rsidRDefault="008E254E" w:rsidP="00DB47D9">
      <w:pPr>
        <w:spacing w:after="0" w:line="240" w:lineRule="auto"/>
        <w:ind w:left="810"/>
        <w:jc w:val="both"/>
        <w:rPr>
          <w:rFonts w:ascii="Arial" w:hAnsi="Arial" w:cs="Arial"/>
          <w:snapToGrid w:val="0"/>
          <w:color w:val="000000"/>
          <w:sz w:val="20"/>
          <w:szCs w:val="20"/>
        </w:rPr>
      </w:pPr>
    </w:p>
    <w:p w:rsidR="008E254E" w:rsidRPr="00DB47D9" w:rsidRDefault="008E254E" w:rsidP="00DB47D9">
      <w:pPr>
        <w:spacing w:after="0" w:line="240" w:lineRule="auto"/>
        <w:ind w:left="810"/>
        <w:jc w:val="both"/>
        <w:rPr>
          <w:rFonts w:ascii="Arial" w:hAnsi="Arial" w:cs="Arial"/>
          <w:b/>
          <w:snapToGrid w:val="0"/>
          <w:color w:val="000000"/>
          <w:sz w:val="20"/>
          <w:szCs w:val="20"/>
        </w:rPr>
      </w:pPr>
      <w:r w:rsidRPr="00DB47D9">
        <w:rPr>
          <w:rFonts w:ascii="Arial" w:hAnsi="Arial" w:cs="Arial"/>
          <w:b/>
          <w:snapToGrid w:val="0"/>
          <w:color w:val="000000"/>
          <w:sz w:val="20"/>
          <w:szCs w:val="20"/>
        </w:rPr>
        <w:t>Long-Term Solution</w:t>
      </w:r>
    </w:p>
    <w:p w:rsidR="008E254E" w:rsidRPr="00DB47D9" w:rsidRDefault="008E254E" w:rsidP="00DB47D9">
      <w:pPr>
        <w:spacing w:after="0" w:line="240" w:lineRule="auto"/>
        <w:ind w:left="810"/>
        <w:jc w:val="both"/>
        <w:rPr>
          <w:rFonts w:ascii="Arial" w:hAnsi="Arial" w:cs="Arial"/>
          <w:snapToGrid w:val="0"/>
          <w:color w:val="000000"/>
          <w:sz w:val="20"/>
          <w:szCs w:val="20"/>
        </w:rPr>
      </w:pPr>
      <w:r w:rsidRPr="00DB47D9">
        <w:rPr>
          <w:rFonts w:ascii="Arial" w:hAnsi="Arial" w:cs="Arial"/>
          <w:snapToGrid w:val="0"/>
          <w:color w:val="000000"/>
          <w:sz w:val="20"/>
          <w:szCs w:val="20"/>
        </w:rPr>
        <w:t>RFP/18/19/36 Cash Conveyance and Handling Processing and Dispensing Service for SASSA Grant Payouts/KN .</w:t>
      </w:r>
    </w:p>
    <w:p w:rsidR="008E254E" w:rsidRPr="00DB47D9" w:rsidRDefault="008E254E" w:rsidP="00DB47D9">
      <w:pPr>
        <w:spacing w:after="0" w:line="240" w:lineRule="auto"/>
        <w:ind w:left="810"/>
        <w:jc w:val="both"/>
        <w:rPr>
          <w:rFonts w:ascii="Arial" w:hAnsi="Arial" w:cs="Arial"/>
          <w:snapToGrid w:val="0"/>
          <w:color w:val="000000"/>
          <w:sz w:val="20"/>
          <w:szCs w:val="20"/>
        </w:rPr>
      </w:pPr>
    </w:p>
    <w:p w:rsidR="008E254E" w:rsidRPr="00DB47D9" w:rsidRDefault="008E254E" w:rsidP="00DB47D9">
      <w:pPr>
        <w:spacing w:after="0" w:line="240" w:lineRule="auto"/>
        <w:ind w:left="810"/>
        <w:jc w:val="both"/>
        <w:rPr>
          <w:rFonts w:ascii="Arial" w:hAnsi="Arial" w:cs="Arial"/>
          <w:snapToGrid w:val="0"/>
          <w:color w:val="000000"/>
          <w:sz w:val="20"/>
          <w:szCs w:val="20"/>
        </w:rPr>
      </w:pPr>
      <w:r w:rsidRPr="00DB47D9">
        <w:rPr>
          <w:rFonts w:ascii="Arial" w:hAnsi="Arial" w:cs="Arial"/>
          <w:snapToGrid w:val="0"/>
          <w:color w:val="000000"/>
          <w:sz w:val="20"/>
          <w:szCs w:val="20"/>
        </w:rPr>
        <w:t>An open tender process was advertised on the National Treasury e-Tender portal on 13 August 2018. Only two bidders submitted proposals (G4S Cash Management Solutions (Pty) Ltd and Fidelity Security Services (Pty) Ltd).</w:t>
      </w:r>
    </w:p>
    <w:p w:rsidR="008E254E" w:rsidRPr="00DB47D9" w:rsidRDefault="008E254E" w:rsidP="00DB47D9">
      <w:pPr>
        <w:spacing w:after="0" w:line="240" w:lineRule="auto"/>
        <w:ind w:left="810"/>
        <w:jc w:val="both"/>
        <w:rPr>
          <w:rFonts w:ascii="Arial" w:hAnsi="Arial" w:cs="Arial"/>
          <w:snapToGrid w:val="0"/>
          <w:color w:val="000000"/>
          <w:sz w:val="20"/>
          <w:szCs w:val="20"/>
        </w:rPr>
      </w:pPr>
    </w:p>
    <w:p w:rsidR="008E254E" w:rsidRPr="00DB47D9" w:rsidRDefault="008E254E" w:rsidP="00DB47D9">
      <w:pPr>
        <w:spacing w:after="0" w:line="240" w:lineRule="auto"/>
        <w:ind w:left="810"/>
        <w:jc w:val="both"/>
        <w:rPr>
          <w:rFonts w:ascii="Arial" w:hAnsi="Arial" w:cs="Arial"/>
          <w:snapToGrid w:val="0"/>
          <w:color w:val="000000"/>
          <w:sz w:val="20"/>
          <w:szCs w:val="20"/>
        </w:rPr>
      </w:pPr>
      <w:r w:rsidRPr="00DB47D9">
        <w:rPr>
          <w:rFonts w:ascii="Arial" w:hAnsi="Arial" w:cs="Arial"/>
          <w:snapToGrid w:val="0"/>
          <w:color w:val="000000"/>
          <w:sz w:val="20"/>
          <w:szCs w:val="20"/>
        </w:rPr>
        <w:t>G4S Cash Management Solutions (Pty) Ltd was disqualified due to not complying fully with the tender requirements. The tender was awarded to Fidelity Security Services (Pty) Ltd for the period of two years commencing on 1 May 2019 up until 30 April 2021.</w:t>
      </w:r>
    </w:p>
    <w:p w:rsidR="008E254E" w:rsidRPr="00DB47D9" w:rsidRDefault="008E254E" w:rsidP="00DB47D9">
      <w:pPr>
        <w:spacing w:after="0" w:line="240" w:lineRule="auto"/>
        <w:ind w:left="1560"/>
        <w:jc w:val="both"/>
        <w:rPr>
          <w:rFonts w:ascii="Arial" w:hAnsi="Arial" w:cs="Arial"/>
          <w:snapToGrid w:val="0"/>
          <w:color w:val="000000"/>
          <w:sz w:val="20"/>
          <w:szCs w:val="20"/>
        </w:rPr>
      </w:pPr>
    </w:p>
    <w:p w:rsidR="008E254E" w:rsidRPr="00DB47D9" w:rsidRDefault="006707C9" w:rsidP="00DB47D9">
      <w:pPr>
        <w:spacing w:after="0" w:line="240" w:lineRule="auto"/>
        <w:ind w:left="720" w:hanging="720"/>
        <w:jc w:val="both"/>
        <w:rPr>
          <w:rFonts w:ascii="Arial" w:hAnsi="Arial" w:cs="Arial"/>
          <w:snapToGrid w:val="0"/>
          <w:color w:val="000000"/>
          <w:sz w:val="20"/>
          <w:szCs w:val="20"/>
        </w:rPr>
      </w:pPr>
      <w:r w:rsidRPr="00DB47D9">
        <w:rPr>
          <w:rFonts w:ascii="Arial" w:hAnsi="Arial" w:cs="Arial"/>
          <w:snapToGrid w:val="0"/>
          <w:color w:val="000000"/>
          <w:sz w:val="20"/>
          <w:szCs w:val="20"/>
        </w:rPr>
        <w:t>3. (a)</w:t>
      </w:r>
      <w:r w:rsidRPr="00DB47D9">
        <w:rPr>
          <w:rFonts w:ascii="Arial" w:hAnsi="Arial" w:cs="Arial"/>
          <w:snapToGrid w:val="0"/>
          <w:color w:val="000000"/>
          <w:sz w:val="20"/>
          <w:szCs w:val="20"/>
        </w:rPr>
        <w:tab/>
      </w:r>
      <w:r w:rsidR="008E254E" w:rsidRPr="00DB47D9">
        <w:rPr>
          <w:rFonts w:ascii="Arial" w:hAnsi="Arial" w:cs="Arial"/>
          <w:snapToGrid w:val="0"/>
          <w:color w:val="000000"/>
          <w:sz w:val="20"/>
          <w:szCs w:val="20"/>
        </w:rPr>
        <w:t xml:space="preserve">All tenders above R10m falls within the delegation of the Board of Directors for approval. However on the 10 November 2017 the Board of Directors resolved that The GCEO (Mr Mark Barnes) and the GCOO (Ms Lindiwe Kwele) were duly authorised to engage, negotiate, take decisions and sign any documents relating to the provision of payment services and systems for social assistance without referring back to the Board of Directors for guidance. The appointment of the CIT Company for both Interim and Long term solutions was therefore duly approved by the two delegated officials. </w:t>
      </w:r>
    </w:p>
    <w:p w:rsidR="008E254E" w:rsidRPr="00DB47D9" w:rsidRDefault="008E254E" w:rsidP="00DB47D9">
      <w:pPr>
        <w:spacing w:after="0" w:line="240" w:lineRule="auto"/>
        <w:ind w:left="810" w:hanging="810"/>
        <w:jc w:val="both"/>
        <w:rPr>
          <w:rFonts w:ascii="Arial" w:hAnsi="Arial" w:cs="Arial"/>
          <w:snapToGrid w:val="0"/>
          <w:color w:val="000000"/>
          <w:sz w:val="20"/>
          <w:szCs w:val="20"/>
        </w:rPr>
      </w:pPr>
    </w:p>
    <w:p w:rsidR="008E254E" w:rsidRPr="00DB47D9" w:rsidRDefault="008E254E" w:rsidP="00DB47D9">
      <w:pPr>
        <w:spacing w:after="0" w:line="240" w:lineRule="auto"/>
        <w:ind w:left="810" w:hanging="810"/>
        <w:jc w:val="both"/>
        <w:rPr>
          <w:rFonts w:ascii="Arial" w:hAnsi="Arial" w:cs="Arial"/>
          <w:b/>
          <w:snapToGrid w:val="0"/>
          <w:color w:val="000000"/>
          <w:sz w:val="20"/>
          <w:szCs w:val="20"/>
        </w:rPr>
      </w:pPr>
      <w:r w:rsidRPr="00DB47D9">
        <w:rPr>
          <w:rFonts w:ascii="Arial" w:hAnsi="Arial" w:cs="Arial"/>
          <w:snapToGrid w:val="0"/>
          <w:color w:val="000000"/>
          <w:sz w:val="20"/>
          <w:szCs w:val="20"/>
        </w:rPr>
        <w:t>3. (b)    The contracts for both RFP/26/18/19/ Cash Conveyance and Handling/RA and RFP/18/19/36 Cash Conveyance and Handling Processing and Dispensing Service for SASSA Grant Payouts/KN are attached.</w:t>
      </w:r>
    </w:p>
    <w:p w:rsidR="00C91C34" w:rsidRPr="00DB47D9" w:rsidRDefault="00C91C34" w:rsidP="00DB47D9">
      <w:pPr>
        <w:spacing w:after="0" w:line="240" w:lineRule="auto"/>
        <w:ind w:left="1440" w:hanging="720"/>
        <w:jc w:val="both"/>
        <w:rPr>
          <w:rFonts w:ascii="Arial" w:hAnsi="Arial" w:cs="Arial"/>
          <w:sz w:val="20"/>
          <w:szCs w:val="20"/>
        </w:rPr>
      </w:pPr>
      <w:r w:rsidRPr="00DB47D9">
        <w:rPr>
          <w:rFonts w:ascii="Arial" w:hAnsi="Arial" w:cs="Arial"/>
          <w:sz w:val="20"/>
          <w:szCs w:val="20"/>
        </w:rPr>
        <w:tab/>
      </w:r>
      <w:r w:rsidRPr="00DB47D9">
        <w:rPr>
          <w:rFonts w:ascii="Arial" w:hAnsi="Arial" w:cs="Arial"/>
          <w:sz w:val="20"/>
          <w:szCs w:val="20"/>
        </w:rPr>
        <w:tab/>
      </w:r>
      <w:r w:rsidRPr="00DB47D9">
        <w:rPr>
          <w:rFonts w:ascii="Arial" w:hAnsi="Arial" w:cs="Arial"/>
          <w:sz w:val="20"/>
          <w:szCs w:val="20"/>
        </w:rPr>
        <w:tab/>
      </w:r>
      <w:r w:rsidRPr="00DB47D9">
        <w:rPr>
          <w:rFonts w:ascii="Arial" w:hAnsi="Arial" w:cs="Arial"/>
          <w:sz w:val="20"/>
          <w:szCs w:val="20"/>
        </w:rPr>
        <w:tab/>
      </w:r>
      <w:r w:rsidRPr="00DB47D9">
        <w:rPr>
          <w:rFonts w:ascii="Arial" w:hAnsi="Arial" w:cs="Arial"/>
          <w:sz w:val="20"/>
          <w:szCs w:val="20"/>
        </w:rPr>
        <w:tab/>
      </w:r>
      <w:r w:rsidRPr="00DB47D9">
        <w:rPr>
          <w:rFonts w:ascii="Arial" w:hAnsi="Arial" w:cs="Arial"/>
          <w:sz w:val="20"/>
          <w:szCs w:val="20"/>
        </w:rPr>
        <w:tab/>
      </w:r>
      <w:bookmarkStart w:id="0" w:name="_GoBack"/>
      <w:bookmarkEnd w:id="0"/>
    </w:p>
    <w:sectPr w:rsidR="00C91C34" w:rsidRPr="00DB47D9" w:rsidSect="009F5DD1">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2A1" w:rsidRDefault="001362A1">
      <w:pPr>
        <w:spacing w:after="0" w:line="240" w:lineRule="auto"/>
      </w:pPr>
      <w:r>
        <w:separator/>
      </w:r>
    </w:p>
  </w:endnote>
  <w:endnote w:type="continuationSeparator" w:id="1">
    <w:p w:rsidR="001362A1" w:rsidRDefault="00136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2A1" w:rsidRDefault="001362A1">
      <w:pPr>
        <w:spacing w:after="0" w:line="240" w:lineRule="auto"/>
      </w:pPr>
      <w:r>
        <w:separator/>
      </w:r>
    </w:p>
  </w:footnote>
  <w:footnote w:type="continuationSeparator" w:id="1">
    <w:p w:rsidR="001362A1" w:rsidRDefault="00136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035C4"/>
    <w:rsid w:val="0001673F"/>
    <w:rsid w:val="00022DAF"/>
    <w:rsid w:val="00030F7E"/>
    <w:rsid w:val="00041AA3"/>
    <w:rsid w:val="00041FD4"/>
    <w:rsid w:val="00042BE0"/>
    <w:rsid w:val="00045724"/>
    <w:rsid w:val="00051EC2"/>
    <w:rsid w:val="000606D9"/>
    <w:rsid w:val="00066271"/>
    <w:rsid w:val="000707D0"/>
    <w:rsid w:val="0007116F"/>
    <w:rsid w:val="00083B8D"/>
    <w:rsid w:val="00091658"/>
    <w:rsid w:val="0009793F"/>
    <w:rsid w:val="000B3D62"/>
    <w:rsid w:val="000B436B"/>
    <w:rsid w:val="000C1583"/>
    <w:rsid w:val="000C35A9"/>
    <w:rsid w:val="000D465F"/>
    <w:rsid w:val="000E3F6F"/>
    <w:rsid w:val="000F1964"/>
    <w:rsid w:val="000F1F08"/>
    <w:rsid w:val="000F33EF"/>
    <w:rsid w:val="00103D68"/>
    <w:rsid w:val="001046D3"/>
    <w:rsid w:val="0010487E"/>
    <w:rsid w:val="00106780"/>
    <w:rsid w:val="00112973"/>
    <w:rsid w:val="0011699F"/>
    <w:rsid w:val="00123D9A"/>
    <w:rsid w:val="0012418C"/>
    <w:rsid w:val="001266B6"/>
    <w:rsid w:val="00131148"/>
    <w:rsid w:val="00132534"/>
    <w:rsid w:val="001362A1"/>
    <w:rsid w:val="00136AE7"/>
    <w:rsid w:val="00144A54"/>
    <w:rsid w:val="00157C96"/>
    <w:rsid w:val="001713D1"/>
    <w:rsid w:val="00173BDA"/>
    <w:rsid w:val="001745C4"/>
    <w:rsid w:val="00174A02"/>
    <w:rsid w:val="001808E1"/>
    <w:rsid w:val="00183FED"/>
    <w:rsid w:val="0019267C"/>
    <w:rsid w:val="00193716"/>
    <w:rsid w:val="001940D1"/>
    <w:rsid w:val="00197678"/>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02"/>
    <w:rsid w:val="00262858"/>
    <w:rsid w:val="00264E4F"/>
    <w:rsid w:val="00270B32"/>
    <w:rsid w:val="00270F3D"/>
    <w:rsid w:val="002738BB"/>
    <w:rsid w:val="002810E9"/>
    <w:rsid w:val="00281672"/>
    <w:rsid w:val="002932D5"/>
    <w:rsid w:val="002A66E4"/>
    <w:rsid w:val="002B3395"/>
    <w:rsid w:val="002B5DEF"/>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066"/>
    <w:rsid w:val="003F291A"/>
    <w:rsid w:val="003F3F09"/>
    <w:rsid w:val="003F46EA"/>
    <w:rsid w:val="00401F5C"/>
    <w:rsid w:val="00402D36"/>
    <w:rsid w:val="004072F4"/>
    <w:rsid w:val="004152F6"/>
    <w:rsid w:val="00420BB8"/>
    <w:rsid w:val="00422B00"/>
    <w:rsid w:val="00425532"/>
    <w:rsid w:val="004329D6"/>
    <w:rsid w:val="0043382B"/>
    <w:rsid w:val="00434100"/>
    <w:rsid w:val="00435600"/>
    <w:rsid w:val="00436F9C"/>
    <w:rsid w:val="004405FF"/>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2779"/>
    <w:rsid w:val="004B3426"/>
    <w:rsid w:val="004C75CF"/>
    <w:rsid w:val="004D27C4"/>
    <w:rsid w:val="004D2F24"/>
    <w:rsid w:val="004D56FC"/>
    <w:rsid w:val="004E0A72"/>
    <w:rsid w:val="004E33EB"/>
    <w:rsid w:val="004E7C2C"/>
    <w:rsid w:val="004F5481"/>
    <w:rsid w:val="004F58F7"/>
    <w:rsid w:val="00501A17"/>
    <w:rsid w:val="00506466"/>
    <w:rsid w:val="00515132"/>
    <w:rsid w:val="0053151F"/>
    <w:rsid w:val="00531BEB"/>
    <w:rsid w:val="00537B1C"/>
    <w:rsid w:val="0054758F"/>
    <w:rsid w:val="00551EEA"/>
    <w:rsid w:val="00556689"/>
    <w:rsid w:val="00567EA8"/>
    <w:rsid w:val="00577FEC"/>
    <w:rsid w:val="005825E4"/>
    <w:rsid w:val="00584954"/>
    <w:rsid w:val="00586CCC"/>
    <w:rsid w:val="00592B9B"/>
    <w:rsid w:val="005962DE"/>
    <w:rsid w:val="005A0E21"/>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31AD1"/>
    <w:rsid w:val="00634F63"/>
    <w:rsid w:val="00645D55"/>
    <w:rsid w:val="0065044E"/>
    <w:rsid w:val="0065360F"/>
    <w:rsid w:val="00653B78"/>
    <w:rsid w:val="006542D2"/>
    <w:rsid w:val="00656F64"/>
    <w:rsid w:val="00661786"/>
    <w:rsid w:val="006707C9"/>
    <w:rsid w:val="00676187"/>
    <w:rsid w:val="0068260E"/>
    <w:rsid w:val="00682F8C"/>
    <w:rsid w:val="00685F7F"/>
    <w:rsid w:val="006867B0"/>
    <w:rsid w:val="006A4DB2"/>
    <w:rsid w:val="006C6488"/>
    <w:rsid w:val="006D024F"/>
    <w:rsid w:val="006E4581"/>
    <w:rsid w:val="006E5299"/>
    <w:rsid w:val="006E62F1"/>
    <w:rsid w:val="006F0EB0"/>
    <w:rsid w:val="006F1316"/>
    <w:rsid w:val="006F3E48"/>
    <w:rsid w:val="00702A10"/>
    <w:rsid w:val="00711C80"/>
    <w:rsid w:val="007130F6"/>
    <w:rsid w:val="007139C1"/>
    <w:rsid w:val="00716453"/>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8077B"/>
    <w:rsid w:val="00780F7E"/>
    <w:rsid w:val="007830B6"/>
    <w:rsid w:val="0078765B"/>
    <w:rsid w:val="00797D21"/>
    <w:rsid w:val="007A449C"/>
    <w:rsid w:val="007A7AE6"/>
    <w:rsid w:val="007A7E54"/>
    <w:rsid w:val="007B659D"/>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254E"/>
    <w:rsid w:val="008E3CB8"/>
    <w:rsid w:val="008E5107"/>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31D0"/>
    <w:rsid w:val="009D6C6F"/>
    <w:rsid w:val="009E1947"/>
    <w:rsid w:val="009E2FDB"/>
    <w:rsid w:val="009E4955"/>
    <w:rsid w:val="009E7540"/>
    <w:rsid w:val="009F26B2"/>
    <w:rsid w:val="009F5DD1"/>
    <w:rsid w:val="00A03249"/>
    <w:rsid w:val="00A0436F"/>
    <w:rsid w:val="00A051CE"/>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1B93"/>
    <w:rsid w:val="00BB3A79"/>
    <w:rsid w:val="00BB7FA9"/>
    <w:rsid w:val="00BD07CD"/>
    <w:rsid w:val="00BD19CE"/>
    <w:rsid w:val="00BD1C78"/>
    <w:rsid w:val="00BD231A"/>
    <w:rsid w:val="00BD3371"/>
    <w:rsid w:val="00BD358D"/>
    <w:rsid w:val="00BE4B10"/>
    <w:rsid w:val="00BE7599"/>
    <w:rsid w:val="00BF18E9"/>
    <w:rsid w:val="00BF4647"/>
    <w:rsid w:val="00C01144"/>
    <w:rsid w:val="00C0555F"/>
    <w:rsid w:val="00C1329B"/>
    <w:rsid w:val="00C14016"/>
    <w:rsid w:val="00C15BFA"/>
    <w:rsid w:val="00C20D9A"/>
    <w:rsid w:val="00C305CD"/>
    <w:rsid w:val="00C33804"/>
    <w:rsid w:val="00C4208C"/>
    <w:rsid w:val="00C43CA5"/>
    <w:rsid w:val="00C458DA"/>
    <w:rsid w:val="00C468BA"/>
    <w:rsid w:val="00C51D72"/>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4CE3"/>
    <w:rsid w:val="00CF630D"/>
    <w:rsid w:val="00D065BE"/>
    <w:rsid w:val="00D12A10"/>
    <w:rsid w:val="00D2120F"/>
    <w:rsid w:val="00D33C41"/>
    <w:rsid w:val="00D4048F"/>
    <w:rsid w:val="00D450FC"/>
    <w:rsid w:val="00D51239"/>
    <w:rsid w:val="00D61A84"/>
    <w:rsid w:val="00D67D54"/>
    <w:rsid w:val="00D703A5"/>
    <w:rsid w:val="00D71E36"/>
    <w:rsid w:val="00D80E2E"/>
    <w:rsid w:val="00DA1E4E"/>
    <w:rsid w:val="00DB47D9"/>
    <w:rsid w:val="00DC028F"/>
    <w:rsid w:val="00DC221D"/>
    <w:rsid w:val="00DC5658"/>
    <w:rsid w:val="00DD69F1"/>
    <w:rsid w:val="00DD7FD5"/>
    <w:rsid w:val="00DF142E"/>
    <w:rsid w:val="00DF27C3"/>
    <w:rsid w:val="00DF476E"/>
    <w:rsid w:val="00E00811"/>
    <w:rsid w:val="00E07F82"/>
    <w:rsid w:val="00E10807"/>
    <w:rsid w:val="00E15F95"/>
    <w:rsid w:val="00E21BE6"/>
    <w:rsid w:val="00E30D1D"/>
    <w:rsid w:val="00E36AB5"/>
    <w:rsid w:val="00E408E7"/>
    <w:rsid w:val="00E436D1"/>
    <w:rsid w:val="00E46923"/>
    <w:rsid w:val="00E525D3"/>
    <w:rsid w:val="00E527D0"/>
    <w:rsid w:val="00E546E7"/>
    <w:rsid w:val="00E556BF"/>
    <w:rsid w:val="00E57C01"/>
    <w:rsid w:val="00E671B7"/>
    <w:rsid w:val="00E73628"/>
    <w:rsid w:val="00E74AD9"/>
    <w:rsid w:val="00E82B0B"/>
    <w:rsid w:val="00E90BBD"/>
    <w:rsid w:val="00E940AE"/>
    <w:rsid w:val="00E96AE2"/>
    <w:rsid w:val="00EB4117"/>
    <w:rsid w:val="00EC6895"/>
    <w:rsid w:val="00ED0BC0"/>
    <w:rsid w:val="00ED106D"/>
    <w:rsid w:val="00ED2A70"/>
    <w:rsid w:val="00ED3D83"/>
    <w:rsid w:val="00ED7105"/>
    <w:rsid w:val="00EE021E"/>
    <w:rsid w:val="00EE0F4E"/>
    <w:rsid w:val="00EE1110"/>
    <w:rsid w:val="00EE40C8"/>
    <w:rsid w:val="00EF057D"/>
    <w:rsid w:val="00EF0741"/>
    <w:rsid w:val="00EF2494"/>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732A3"/>
    <w:rsid w:val="00F77743"/>
    <w:rsid w:val="00F77BA6"/>
    <w:rsid w:val="00F86AA7"/>
    <w:rsid w:val="00F8736C"/>
    <w:rsid w:val="00F92F9F"/>
    <w:rsid w:val="00F93622"/>
    <w:rsid w:val="00FB4659"/>
    <w:rsid w:val="00FB557D"/>
    <w:rsid w:val="00FB5F56"/>
    <w:rsid w:val="00FC2C79"/>
    <w:rsid w:val="00FC68FF"/>
    <w:rsid w:val="00FD0D94"/>
    <w:rsid w:val="00FD1C03"/>
    <w:rsid w:val="00FD5267"/>
    <w:rsid w:val="00FF1CC2"/>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81149228">
      <w:bodyDiv w:val="1"/>
      <w:marLeft w:val="0"/>
      <w:marRight w:val="0"/>
      <w:marTop w:val="0"/>
      <w:marBottom w:val="0"/>
      <w:divBdr>
        <w:top w:val="none" w:sz="0" w:space="0" w:color="auto"/>
        <w:left w:val="none" w:sz="0" w:space="0" w:color="auto"/>
        <w:bottom w:val="none" w:sz="0" w:space="0" w:color="auto"/>
        <w:right w:val="none" w:sz="0" w:space="0" w:color="auto"/>
      </w:divBdr>
    </w:div>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C732E-9AB5-4F39-BC44-DA513963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PMG User</cp:lastModifiedBy>
  <cp:revision>5</cp:revision>
  <cp:lastPrinted>2020-05-20T12:34:00Z</cp:lastPrinted>
  <dcterms:created xsi:type="dcterms:W3CDTF">2020-05-20T12:35:00Z</dcterms:created>
  <dcterms:modified xsi:type="dcterms:W3CDTF">2020-06-12T09:50:00Z</dcterms:modified>
</cp:coreProperties>
</file>