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45</w:t>
      </w:r>
      <w:r w:rsidR="00E84419">
        <w:rPr>
          <w:b/>
          <w:bCs/>
          <w:sz w:val="24"/>
          <w:u w:val="single"/>
        </w:rPr>
        <w:t>7</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E84419" w:rsidRPr="00E84419" w:rsidRDefault="00E84419" w:rsidP="00E84419">
      <w:pPr>
        <w:spacing w:before="100" w:beforeAutospacing="1" w:after="100" w:afterAutospacing="1" w:line="240" w:lineRule="auto"/>
        <w:ind w:left="709" w:hanging="709"/>
        <w:jc w:val="both"/>
        <w:rPr>
          <w:rFonts w:ascii="Arial" w:hAnsi="Arial" w:cs="Arial"/>
          <w:b/>
          <w:sz w:val="24"/>
          <w:szCs w:val="24"/>
          <w:u w:val="single"/>
          <w:lang w:val="en-US"/>
        </w:rPr>
      </w:pPr>
      <w:r w:rsidRPr="00E84419">
        <w:rPr>
          <w:rFonts w:ascii="Arial" w:hAnsi="Arial" w:cs="Arial"/>
          <w:b/>
          <w:sz w:val="24"/>
          <w:szCs w:val="24"/>
          <w:u w:val="single"/>
          <w:lang w:val="en-US"/>
        </w:rPr>
        <w:t>Mr K Ceza (EFF) to ask the Minister of Health</w:t>
      </w:r>
      <w:r w:rsidR="00D44E72" w:rsidRPr="00E84419">
        <w:rPr>
          <w:rFonts w:ascii="Arial" w:hAnsi="Arial" w:cs="Arial"/>
          <w:b/>
          <w:sz w:val="24"/>
          <w:szCs w:val="24"/>
          <w:u w:val="single"/>
          <w:lang w:val="en-US"/>
        </w:rPr>
        <w:fldChar w:fldCharType="begin"/>
      </w:r>
      <w:r w:rsidRPr="00E84419">
        <w:rPr>
          <w:rFonts w:ascii="Arial" w:hAnsi="Arial" w:cs="Arial"/>
          <w:u w:val="single"/>
        </w:rPr>
        <w:instrText xml:space="preserve"> XE "</w:instrText>
      </w:r>
      <w:r w:rsidRPr="00E84419">
        <w:rPr>
          <w:rFonts w:ascii="Arial" w:hAnsi="Arial" w:cs="Arial"/>
          <w:b/>
          <w:sz w:val="24"/>
          <w:szCs w:val="24"/>
          <w:u w:val="single"/>
          <w:lang w:val="en-US"/>
        </w:rPr>
        <w:instrText>Minister of Health</w:instrText>
      </w:r>
      <w:r w:rsidRPr="00E84419">
        <w:rPr>
          <w:rFonts w:ascii="Arial" w:hAnsi="Arial" w:cs="Arial"/>
          <w:u w:val="single"/>
        </w:rPr>
        <w:instrText xml:space="preserve">" </w:instrText>
      </w:r>
      <w:r w:rsidR="00D44E72" w:rsidRPr="00E84419">
        <w:rPr>
          <w:rFonts w:ascii="Arial" w:hAnsi="Arial" w:cs="Arial"/>
          <w:b/>
          <w:sz w:val="24"/>
          <w:szCs w:val="24"/>
          <w:u w:val="single"/>
          <w:lang w:val="en-US"/>
        </w:rPr>
        <w:fldChar w:fldCharType="end"/>
      </w:r>
      <w:r w:rsidRPr="00E84419">
        <w:rPr>
          <w:rFonts w:ascii="Arial" w:hAnsi="Arial" w:cs="Arial"/>
          <w:b/>
          <w:sz w:val="24"/>
          <w:szCs w:val="24"/>
          <w:u w:val="single"/>
          <w:lang w:val="en-US"/>
        </w:rPr>
        <w:t>:</w:t>
      </w:r>
    </w:p>
    <w:p w:rsidR="002C2A10" w:rsidRPr="00703F84" w:rsidRDefault="00E84419" w:rsidP="00E84419">
      <w:pPr>
        <w:spacing w:before="100" w:beforeAutospacing="1" w:after="100" w:afterAutospacing="1"/>
        <w:jc w:val="both"/>
      </w:pPr>
      <w:r w:rsidRPr="00E84419">
        <w:rPr>
          <w:rFonts w:ascii="Arial" w:hAnsi="Arial" w:cs="Arial"/>
          <w:sz w:val="24"/>
          <w:szCs w:val="24"/>
        </w:rPr>
        <w:t>Noting that in public healthcare facilities at present, especially in clinics, the majority of pharmacy dispensary duties are done by nurses, which then has an impact on nurses focusing on delivering health services within their scope, what (a) total number of healthcare facilities (i) have a shortage of pharmacists and (ii) rely on nurses for dispensary duties and (b) steps does he intend to take to remedy the specified situation?</w:t>
      </w:r>
      <w:r w:rsidRPr="007E19D8">
        <w:rPr>
          <w:rFonts w:ascii="Times New Roman" w:hAnsi="Times New Roman" w:cs="Times New Roman"/>
          <w:sz w:val="24"/>
          <w:szCs w:val="24"/>
        </w:rPr>
        <w:tab/>
      </w:r>
      <w:r w:rsidRPr="007E19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703F84">
        <w:rPr>
          <w:rFonts w:ascii="Arial" w:hAnsi="Arial" w:cs="Arial"/>
          <w:b/>
          <w:bCs/>
          <w:sz w:val="12"/>
          <w:szCs w:val="12"/>
        </w:rPr>
        <w:t>8</w:t>
      </w:r>
      <w:r>
        <w:rPr>
          <w:rFonts w:ascii="Arial" w:hAnsi="Arial" w:cs="Arial"/>
          <w:b/>
          <w:bCs/>
          <w:sz w:val="12"/>
          <w:szCs w:val="12"/>
        </w:rPr>
        <w:t>5</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8642F2" w:rsidRPr="008642F2" w:rsidRDefault="008642F2" w:rsidP="008642F2">
      <w:pPr>
        <w:jc w:val="both"/>
        <w:rPr>
          <w:rFonts w:ascii="Arial" w:hAnsi="Arial" w:cs="Arial"/>
          <w:sz w:val="24"/>
          <w:szCs w:val="24"/>
        </w:rPr>
      </w:pPr>
      <w:r w:rsidRPr="008642F2">
        <w:rPr>
          <w:rFonts w:ascii="Arial" w:hAnsi="Arial" w:cs="Arial"/>
          <w:sz w:val="24"/>
          <w:szCs w:val="24"/>
        </w:rPr>
        <w:t>It is not correct to conclude that majority of pharmacy dispensary duties at clinics, are carried out by nurses. These functions may also be performed by a pharmacist’s assistant (post basic) functioning under the indirect supervision of a pharmacist. O</w:t>
      </w:r>
      <w:r w:rsidRPr="008642F2">
        <w:rPr>
          <w:rFonts w:ascii="Arial" w:hAnsi="Arial" w:cs="Arial"/>
          <w:sz w:val="24"/>
          <w:szCs w:val="24"/>
          <w:u w:val="single"/>
        </w:rPr>
        <w:t>nly</w:t>
      </w:r>
      <w:r w:rsidRPr="008642F2">
        <w:rPr>
          <w:rFonts w:ascii="Arial" w:hAnsi="Arial" w:cs="Arial"/>
          <w:sz w:val="24"/>
          <w:szCs w:val="24"/>
        </w:rPr>
        <w:t xml:space="preserve"> professional nurses who have been authorised in terms of Section 56(6) of the Nursing Act 53 of 2005, are allowed to dispense medicines up to schedule 4. In some clinics, pharmacist assistants have been appointed to perform duties related to managing medicines in the facility. The process of task sharing is meant to optimise the utilisation of different categories of staff in the team to alleviate bottlenecks that may hamper the dispensing of medicine at a clinic and it does not affect nurses focusing on delivering health services within their scope </w:t>
      </w:r>
    </w:p>
    <w:p w:rsidR="008642F2" w:rsidRPr="008642F2" w:rsidRDefault="008642F2" w:rsidP="008642F2">
      <w:pPr>
        <w:pStyle w:val="ListParagraph"/>
        <w:numPr>
          <w:ilvl w:val="0"/>
          <w:numId w:val="34"/>
        </w:numPr>
        <w:tabs>
          <w:tab w:val="left" w:pos="709"/>
        </w:tabs>
        <w:ind w:left="1276" w:hanging="1276"/>
        <w:jc w:val="both"/>
        <w:rPr>
          <w:rFonts w:ascii="Arial" w:hAnsi="Arial" w:cs="Arial"/>
          <w:sz w:val="24"/>
          <w:szCs w:val="24"/>
        </w:rPr>
      </w:pPr>
      <w:r w:rsidRPr="008642F2">
        <w:rPr>
          <w:rFonts w:ascii="Arial" w:hAnsi="Arial" w:cs="Arial"/>
          <w:sz w:val="24"/>
          <w:szCs w:val="24"/>
        </w:rPr>
        <w:t>(i)</w:t>
      </w:r>
      <w:r>
        <w:rPr>
          <w:rFonts w:ascii="Arial" w:hAnsi="Arial" w:cs="Arial"/>
          <w:sz w:val="24"/>
          <w:szCs w:val="24"/>
        </w:rPr>
        <w:tab/>
      </w:r>
      <w:r w:rsidRPr="008642F2">
        <w:rPr>
          <w:rFonts w:ascii="Arial" w:hAnsi="Arial" w:cs="Arial"/>
          <w:sz w:val="24"/>
          <w:szCs w:val="24"/>
        </w:rPr>
        <w:t>The tables below provide a Persal breakdown of filled and vacant posts per provinces as of February 2023, which actually shows that vacant posts are minimal and does not impact negatively on service delivery.</w:t>
      </w:r>
    </w:p>
    <w:tbl>
      <w:tblPr>
        <w:tblW w:w="10819" w:type="dxa"/>
        <w:tblInd w:w="-431" w:type="dxa"/>
        <w:tblLayout w:type="fixed"/>
        <w:tblLook w:val="04A0"/>
      </w:tblPr>
      <w:tblGrid>
        <w:gridCol w:w="1706"/>
        <w:gridCol w:w="634"/>
        <w:gridCol w:w="677"/>
        <w:gridCol w:w="555"/>
        <w:gridCol w:w="574"/>
        <w:gridCol w:w="677"/>
        <w:gridCol w:w="555"/>
        <w:gridCol w:w="574"/>
        <w:gridCol w:w="677"/>
        <w:gridCol w:w="555"/>
        <w:gridCol w:w="574"/>
        <w:gridCol w:w="677"/>
        <w:gridCol w:w="555"/>
        <w:gridCol w:w="591"/>
        <w:gridCol w:w="677"/>
        <w:gridCol w:w="561"/>
      </w:tblGrid>
      <w:tr w:rsidR="008642F2" w:rsidTr="008642F2">
        <w:trPr>
          <w:trHeight w:val="432"/>
        </w:trPr>
        <w:tc>
          <w:tcPr>
            <w:tcW w:w="10819" w:type="dxa"/>
            <w:gridSpan w:val="16"/>
            <w:tcBorders>
              <w:top w:val="single" w:sz="4" w:space="0" w:color="auto"/>
              <w:left w:val="single" w:sz="4" w:space="0" w:color="auto"/>
              <w:bottom w:val="single" w:sz="4" w:space="0" w:color="auto"/>
              <w:right w:val="nil"/>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Summary of filled and vacant Pharmacy post per province as at April 2023</w:t>
            </w:r>
          </w:p>
        </w:tc>
      </w:tr>
      <w:tr w:rsidR="008642F2" w:rsidTr="008642F2">
        <w:trPr>
          <w:trHeight w:val="576"/>
        </w:trPr>
        <w:tc>
          <w:tcPr>
            <w:tcW w:w="1706" w:type="dxa"/>
            <w:tcBorders>
              <w:top w:val="nil"/>
              <w:left w:val="single" w:sz="4" w:space="0" w:color="auto"/>
              <w:bottom w:val="single" w:sz="4" w:space="0" w:color="auto"/>
              <w:right w:val="single" w:sz="4" w:space="0" w:color="auto"/>
            </w:tcBorders>
            <w:shd w:val="clear" w:color="548235" w:fill="548235"/>
            <w:vAlign w:val="bottom"/>
            <w:hideMark/>
          </w:tcPr>
          <w:p w:rsidR="008642F2" w:rsidRDefault="008642F2" w:rsidP="008642F2">
            <w:pPr>
              <w:spacing w:after="0" w:line="240" w:lineRule="auto"/>
              <w:rPr>
                <w:rFonts w:ascii="Calibri" w:hAnsi="Calibri" w:cs="Calibri"/>
                <w:b/>
                <w:bCs/>
                <w:color w:val="FFFFFF"/>
                <w:sz w:val="16"/>
                <w:szCs w:val="16"/>
              </w:rPr>
            </w:pPr>
            <w:r>
              <w:rPr>
                <w:rFonts w:ascii="Calibri" w:hAnsi="Calibri" w:cs="Calibri"/>
                <w:b/>
                <w:bCs/>
                <w:color w:val="FFFFFF"/>
                <w:sz w:val="16"/>
                <w:szCs w:val="16"/>
              </w:rPr>
              <w:t> </w:t>
            </w:r>
          </w:p>
        </w:tc>
        <w:tc>
          <w:tcPr>
            <w:tcW w:w="131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EC</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ECP Total</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FS</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FS Total</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GP</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GP Total</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KZN</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KZN Total</w:t>
            </w:r>
          </w:p>
        </w:tc>
        <w:tc>
          <w:tcPr>
            <w:tcW w:w="1268"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LP</w:t>
            </w:r>
          </w:p>
        </w:tc>
        <w:tc>
          <w:tcPr>
            <w:tcW w:w="561"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LP Total</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548235" w:fill="548235"/>
            <w:vAlign w:val="bottom"/>
            <w:hideMark/>
          </w:tcPr>
          <w:p w:rsidR="008642F2" w:rsidRDefault="008642F2" w:rsidP="008642F2">
            <w:pPr>
              <w:spacing w:after="0" w:line="240" w:lineRule="auto"/>
              <w:rPr>
                <w:rFonts w:ascii="Calibri" w:hAnsi="Calibri" w:cs="Calibri"/>
                <w:b/>
                <w:bCs/>
                <w:color w:val="FFFFFF"/>
                <w:sz w:val="16"/>
                <w:szCs w:val="16"/>
              </w:rPr>
            </w:pPr>
            <w:r>
              <w:rPr>
                <w:rFonts w:ascii="Calibri" w:hAnsi="Calibri" w:cs="Calibri"/>
                <w:b/>
                <w:bCs/>
                <w:color w:val="FFFFFF"/>
                <w:sz w:val="16"/>
                <w:szCs w:val="16"/>
              </w:rPr>
              <w:t>Title</w:t>
            </w:r>
          </w:p>
        </w:tc>
        <w:tc>
          <w:tcPr>
            <w:tcW w:w="63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91"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61"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CLINICAL PHARMACIST</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0 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319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18</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337</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38</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121</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364</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384</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499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514</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389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26</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415</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(COMMUNITY SERVICE)</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75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34</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48</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120</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150</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60</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82</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(INTERN)</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0 </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48</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71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75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170</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66</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236</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154</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83</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237</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ASSISTANT</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141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86</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99</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210</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260</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29</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ASSISTANT (POST-BASIC)</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456</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49</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505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343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99</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442</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636</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656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1077</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78</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1155</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325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35</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360</w:t>
            </w:r>
          </w:p>
        </w:tc>
      </w:tr>
      <w:tr w:rsidR="008642F2" w:rsidTr="008642F2">
        <w:trPr>
          <w:trHeight w:val="288"/>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b/>
                <w:bCs/>
                <w:color w:val="000000"/>
                <w:sz w:val="16"/>
                <w:szCs w:val="16"/>
              </w:rPr>
            </w:pPr>
            <w:r>
              <w:rPr>
                <w:rFonts w:ascii="Calibri" w:hAnsi="Calibri" w:cs="Calibri"/>
                <w:b/>
                <w:bCs/>
                <w:color w:val="000000"/>
                <w:sz w:val="16"/>
                <w:szCs w:val="16"/>
              </w:rPr>
              <w:t>Grand Total</w:t>
            </w:r>
          </w:p>
        </w:tc>
        <w:tc>
          <w:tcPr>
            <w:tcW w:w="63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1028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97</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1125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461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168</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629</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1245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89</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1334</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2095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220</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2315</w:t>
            </w:r>
          </w:p>
        </w:tc>
        <w:tc>
          <w:tcPr>
            <w:tcW w:w="59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953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170</w:t>
            </w:r>
          </w:p>
        </w:tc>
        <w:tc>
          <w:tcPr>
            <w:tcW w:w="561"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1123</w:t>
            </w:r>
          </w:p>
        </w:tc>
      </w:tr>
    </w:tbl>
    <w:p w:rsidR="008642F2" w:rsidRDefault="008642F2" w:rsidP="008642F2">
      <w:pPr>
        <w:jc w:val="both"/>
        <w:rPr>
          <w:rFonts w:ascii="Arial" w:hAnsi="Arial" w:cs="Arial"/>
        </w:rPr>
      </w:pPr>
    </w:p>
    <w:p w:rsidR="008642F2" w:rsidRDefault="008642F2" w:rsidP="008642F2">
      <w:pPr>
        <w:jc w:val="both"/>
        <w:rPr>
          <w:rFonts w:ascii="Arial" w:hAnsi="Arial" w:cs="Arial"/>
        </w:rPr>
      </w:pPr>
    </w:p>
    <w:tbl>
      <w:tblPr>
        <w:tblW w:w="9990" w:type="dxa"/>
        <w:tblInd w:w="-431" w:type="dxa"/>
        <w:tblLook w:val="04A0"/>
      </w:tblPr>
      <w:tblGrid>
        <w:gridCol w:w="2070"/>
        <w:gridCol w:w="574"/>
        <w:gridCol w:w="677"/>
        <w:gridCol w:w="555"/>
        <w:gridCol w:w="574"/>
        <w:gridCol w:w="677"/>
        <w:gridCol w:w="555"/>
        <w:gridCol w:w="574"/>
        <w:gridCol w:w="677"/>
        <w:gridCol w:w="555"/>
        <w:gridCol w:w="574"/>
        <w:gridCol w:w="938"/>
        <w:gridCol w:w="990"/>
      </w:tblGrid>
      <w:tr w:rsidR="008642F2" w:rsidTr="008642F2">
        <w:trPr>
          <w:trHeight w:val="480"/>
        </w:trPr>
        <w:tc>
          <w:tcPr>
            <w:tcW w:w="9990" w:type="dxa"/>
            <w:gridSpan w:val="13"/>
            <w:tcBorders>
              <w:top w:val="single" w:sz="4" w:space="0" w:color="auto"/>
              <w:left w:val="single" w:sz="4" w:space="0" w:color="auto"/>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lastRenderedPageBreak/>
              <w:t>Summary of filled and vacant Pharmacy post per province as at April 2023</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548235" w:fill="548235"/>
            <w:vAlign w:val="bottom"/>
            <w:hideMark/>
          </w:tcPr>
          <w:p w:rsidR="008642F2" w:rsidRDefault="008642F2" w:rsidP="008642F2">
            <w:pPr>
              <w:spacing w:after="0" w:line="240" w:lineRule="auto"/>
              <w:rPr>
                <w:rFonts w:ascii="Calibri" w:hAnsi="Calibri" w:cs="Calibri"/>
                <w:b/>
                <w:bCs/>
                <w:color w:val="FFFFFF"/>
                <w:sz w:val="16"/>
                <w:szCs w:val="16"/>
              </w:rPr>
            </w:pPr>
            <w:r>
              <w:rPr>
                <w:rFonts w:ascii="Calibri" w:hAnsi="Calibri" w:cs="Calibri"/>
                <w:b/>
                <w:bCs/>
                <w:color w:val="FFFFFF"/>
                <w:sz w:val="16"/>
                <w:szCs w:val="16"/>
              </w:rPr>
              <w:t> </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MPU</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MPU Total</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NW</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NW Total</w:t>
            </w:r>
          </w:p>
        </w:tc>
        <w:tc>
          <w:tcPr>
            <w:tcW w:w="1251"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NC</w:t>
            </w:r>
          </w:p>
        </w:tc>
        <w:tc>
          <w:tcPr>
            <w:tcW w:w="555"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NC Total</w:t>
            </w:r>
          </w:p>
        </w:tc>
        <w:tc>
          <w:tcPr>
            <w:tcW w:w="1512" w:type="dxa"/>
            <w:gridSpan w:val="2"/>
            <w:tcBorders>
              <w:top w:val="single" w:sz="4" w:space="0" w:color="auto"/>
              <w:left w:val="nil"/>
              <w:bottom w:val="single" w:sz="4" w:space="0" w:color="auto"/>
              <w:right w:val="single" w:sz="4" w:space="0" w:color="000000"/>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WC</w:t>
            </w:r>
          </w:p>
        </w:tc>
        <w:tc>
          <w:tcPr>
            <w:tcW w:w="990" w:type="dxa"/>
            <w:vMerge w:val="restart"/>
            <w:tcBorders>
              <w:top w:val="nil"/>
              <w:left w:val="single" w:sz="4" w:space="0" w:color="auto"/>
              <w:bottom w:val="single" w:sz="4" w:space="0" w:color="000000"/>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WC Total</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548235" w:fill="548235"/>
            <w:vAlign w:val="bottom"/>
            <w:hideMark/>
          </w:tcPr>
          <w:p w:rsidR="008642F2" w:rsidRDefault="008642F2" w:rsidP="008642F2">
            <w:pPr>
              <w:spacing w:after="0" w:line="240" w:lineRule="auto"/>
              <w:rPr>
                <w:rFonts w:ascii="Calibri" w:hAnsi="Calibri" w:cs="Calibri"/>
                <w:b/>
                <w:bCs/>
                <w:color w:val="FFFFFF"/>
                <w:sz w:val="16"/>
                <w:szCs w:val="16"/>
              </w:rPr>
            </w:pPr>
            <w:r>
              <w:rPr>
                <w:rFonts w:ascii="Calibri" w:hAnsi="Calibri" w:cs="Calibri"/>
                <w:b/>
                <w:bCs/>
                <w:color w:val="FFFFFF"/>
                <w:sz w:val="16"/>
                <w:szCs w:val="16"/>
              </w:rPr>
              <w:t>Titel</w:t>
            </w: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677"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555"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c>
          <w:tcPr>
            <w:tcW w:w="574"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Filled</w:t>
            </w:r>
          </w:p>
        </w:tc>
        <w:tc>
          <w:tcPr>
            <w:tcW w:w="938" w:type="dxa"/>
            <w:tcBorders>
              <w:top w:val="nil"/>
              <w:left w:val="nil"/>
              <w:bottom w:val="single" w:sz="4" w:space="0" w:color="auto"/>
              <w:right w:val="single" w:sz="4" w:space="0" w:color="auto"/>
            </w:tcBorders>
            <w:shd w:val="clear" w:color="548235" w:fill="548235"/>
            <w:vAlign w:val="center"/>
            <w:hideMark/>
          </w:tcPr>
          <w:p w:rsidR="008642F2" w:rsidRDefault="008642F2" w:rsidP="008642F2">
            <w:pPr>
              <w:spacing w:after="0" w:line="240" w:lineRule="auto"/>
              <w:jc w:val="center"/>
              <w:rPr>
                <w:rFonts w:ascii="Calibri" w:hAnsi="Calibri" w:cs="Calibri"/>
                <w:b/>
                <w:bCs/>
                <w:color w:val="FFFFFF"/>
                <w:sz w:val="16"/>
                <w:szCs w:val="16"/>
              </w:rPr>
            </w:pPr>
            <w:r>
              <w:rPr>
                <w:rFonts w:ascii="Calibri" w:hAnsi="Calibri" w:cs="Calibri"/>
                <w:b/>
                <w:bCs/>
                <w:color w:val="FFFFFF"/>
                <w:sz w:val="16"/>
                <w:szCs w:val="16"/>
              </w:rPr>
              <w:t>Vacant</w:t>
            </w:r>
          </w:p>
        </w:tc>
        <w:tc>
          <w:tcPr>
            <w:tcW w:w="990" w:type="dxa"/>
            <w:vMerge/>
            <w:tcBorders>
              <w:top w:val="nil"/>
              <w:left w:val="single" w:sz="4" w:space="0" w:color="auto"/>
              <w:bottom w:val="single" w:sz="4" w:space="0" w:color="000000"/>
              <w:right w:val="single" w:sz="4" w:space="0" w:color="auto"/>
            </w:tcBorders>
            <w:vAlign w:val="center"/>
            <w:hideMark/>
          </w:tcPr>
          <w:p w:rsidR="008642F2" w:rsidRDefault="008642F2" w:rsidP="008642F2">
            <w:pPr>
              <w:spacing w:after="0" w:line="240" w:lineRule="auto"/>
              <w:rPr>
                <w:rFonts w:ascii="Calibri" w:hAnsi="Calibri" w:cs="Calibri"/>
                <w:b/>
                <w:bCs/>
                <w:color w:val="FFFFFF"/>
                <w:sz w:val="16"/>
                <w:szCs w:val="16"/>
              </w:rPr>
            </w:pP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CLINICAL PHARMACIST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250</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262</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209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226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71</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246</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262</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(COMMUNITY SERVICE)</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52</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80</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0 </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80</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40</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39</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45</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(INTERN)</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 0</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ASSISTANT</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28</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41</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24</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26</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color w:val="000000"/>
                <w:sz w:val="16"/>
                <w:szCs w:val="16"/>
              </w:rPr>
            </w:pPr>
            <w:r>
              <w:rPr>
                <w:rFonts w:ascii="Calibri" w:hAnsi="Calibri" w:cs="Calibri"/>
                <w:color w:val="000000"/>
                <w:sz w:val="16"/>
                <w:szCs w:val="16"/>
              </w:rPr>
              <w:t>PHARMACIST ASSISTANT (POST-BASIC)</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207</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216</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139</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152</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158</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173</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576</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22</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color w:val="000000"/>
                <w:sz w:val="16"/>
                <w:szCs w:val="16"/>
              </w:rPr>
            </w:pPr>
            <w:r>
              <w:rPr>
                <w:rFonts w:ascii="Calibri" w:hAnsi="Calibri" w:cs="Calibri"/>
                <w:color w:val="000000"/>
                <w:sz w:val="16"/>
                <w:szCs w:val="16"/>
              </w:rPr>
              <w:t>598</w:t>
            </w:r>
          </w:p>
        </w:tc>
      </w:tr>
      <w:tr w:rsidR="008642F2" w:rsidTr="008642F2">
        <w:trPr>
          <w:trHeight w:val="288"/>
        </w:trPr>
        <w:tc>
          <w:tcPr>
            <w:tcW w:w="2070" w:type="dxa"/>
            <w:tcBorders>
              <w:top w:val="nil"/>
              <w:left w:val="single" w:sz="4" w:space="0" w:color="auto"/>
              <w:bottom w:val="single" w:sz="4" w:space="0" w:color="auto"/>
              <w:right w:val="single" w:sz="4" w:space="0" w:color="auto"/>
            </w:tcBorders>
            <w:shd w:val="clear" w:color="auto" w:fill="auto"/>
            <w:noWrap/>
            <w:vAlign w:val="bottom"/>
            <w:hideMark/>
          </w:tcPr>
          <w:p w:rsidR="008642F2" w:rsidRDefault="008642F2" w:rsidP="008642F2">
            <w:pPr>
              <w:spacing w:after="0" w:line="240" w:lineRule="auto"/>
              <w:rPr>
                <w:rFonts w:ascii="Calibri" w:hAnsi="Calibri" w:cs="Calibri"/>
                <w:b/>
                <w:bCs/>
                <w:color w:val="000000"/>
                <w:sz w:val="16"/>
                <w:szCs w:val="16"/>
              </w:rPr>
            </w:pPr>
            <w:r>
              <w:rPr>
                <w:rFonts w:ascii="Calibri" w:hAnsi="Calibri" w:cs="Calibri"/>
                <w:b/>
                <w:bCs/>
                <w:color w:val="000000"/>
                <w:sz w:val="16"/>
                <w:szCs w:val="16"/>
              </w:rPr>
              <w:t>Grand Total</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543</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32</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575</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485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44</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529</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285</w:t>
            </w:r>
          </w:p>
        </w:tc>
        <w:tc>
          <w:tcPr>
            <w:tcW w:w="677"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29</w:t>
            </w:r>
          </w:p>
        </w:tc>
        <w:tc>
          <w:tcPr>
            <w:tcW w:w="555"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314</w:t>
            </w:r>
          </w:p>
        </w:tc>
        <w:tc>
          <w:tcPr>
            <w:tcW w:w="574"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907</w:t>
            </w:r>
          </w:p>
        </w:tc>
        <w:tc>
          <w:tcPr>
            <w:tcW w:w="938"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47</w:t>
            </w:r>
          </w:p>
        </w:tc>
        <w:tc>
          <w:tcPr>
            <w:tcW w:w="990" w:type="dxa"/>
            <w:tcBorders>
              <w:top w:val="nil"/>
              <w:left w:val="nil"/>
              <w:bottom w:val="single" w:sz="4" w:space="0" w:color="auto"/>
              <w:right w:val="single" w:sz="4" w:space="0" w:color="auto"/>
            </w:tcBorders>
            <w:shd w:val="clear" w:color="auto" w:fill="auto"/>
            <w:noWrap/>
            <w:vAlign w:val="center"/>
            <w:hideMark/>
          </w:tcPr>
          <w:p w:rsidR="008642F2" w:rsidRDefault="008642F2" w:rsidP="008642F2">
            <w:pPr>
              <w:spacing w:after="0" w:line="240" w:lineRule="auto"/>
              <w:jc w:val="center"/>
              <w:rPr>
                <w:rFonts w:ascii="Calibri" w:hAnsi="Calibri" w:cs="Calibri"/>
                <w:b/>
                <w:bCs/>
                <w:color w:val="000000"/>
                <w:sz w:val="16"/>
                <w:szCs w:val="16"/>
              </w:rPr>
            </w:pPr>
            <w:r>
              <w:rPr>
                <w:rFonts w:ascii="Calibri" w:hAnsi="Calibri" w:cs="Calibri"/>
                <w:b/>
                <w:bCs/>
                <w:color w:val="000000"/>
                <w:sz w:val="16"/>
                <w:szCs w:val="16"/>
              </w:rPr>
              <w:t>954</w:t>
            </w:r>
          </w:p>
        </w:tc>
      </w:tr>
    </w:tbl>
    <w:p w:rsidR="008642F2" w:rsidRDefault="008642F2" w:rsidP="008642F2">
      <w:pPr>
        <w:jc w:val="both"/>
        <w:rPr>
          <w:rFonts w:ascii="Arial" w:hAnsi="Arial" w:cs="Arial"/>
        </w:rPr>
      </w:pPr>
    </w:p>
    <w:p w:rsidR="008642F2" w:rsidRPr="00F462B4" w:rsidRDefault="008642F2" w:rsidP="008642F2">
      <w:pPr>
        <w:ind w:left="709" w:hanging="709"/>
        <w:jc w:val="both"/>
        <w:outlineLvl w:val="0"/>
        <w:rPr>
          <w:rFonts w:ascii="Arial" w:hAnsi="Arial" w:cs="Arial"/>
        </w:rPr>
      </w:pPr>
      <w:r w:rsidRPr="00F462B4">
        <w:rPr>
          <w:rFonts w:ascii="Arial" w:hAnsi="Arial" w:cs="Arial"/>
        </w:rPr>
        <w:t xml:space="preserve">(b) </w:t>
      </w:r>
      <w:r>
        <w:rPr>
          <w:rFonts w:ascii="Arial" w:hAnsi="Arial" w:cs="Arial"/>
        </w:rPr>
        <w:tab/>
      </w:r>
      <w:r w:rsidRPr="00F462B4">
        <w:rPr>
          <w:rFonts w:ascii="Arial" w:hAnsi="Arial" w:cs="Arial"/>
        </w:rPr>
        <w:t xml:space="preserve">Provinces have established </w:t>
      </w:r>
      <w:r w:rsidRPr="00F462B4">
        <w:rPr>
          <w:rFonts w:ascii="Arial" w:hAnsi="Arial" w:cs="Arial"/>
          <w:bCs/>
        </w:rPr>
        <w:t>recruitment Task Team that prioritises the filling of positions in line with service delivery needs</w:t>
      </w:r>
      <w:r>
        <w:rPr>
          <w:rFonts w:ascii="Arial" w:hAnsi="Arial" w:cs="Arial"/>
          <w:bCs/>
        </w:rPr>
        <w:t>. T</w:t>
      </w:r>
      <w:r w:rsidRPr="00F462B4">
        <w:rPr>
          <w:rFonts w:ascii="Arial" w:hAnsi="Arial" w:cs="Arial"/>
          <w:bCs/>
        </w:rPr>
        <w:t>o ensure that their expenditure on recruitments does not exceed the allocated Cost of Employment (CoE)</w:t>
      </w:r>
      <w:r>
        <w:rPr>
          <w:rFonts w:ascii="Arial" w:hAnsi="Arial" w:cs="Arial"/>
          <w:bCs/>
        </w:rPr>
        <w:t xml:space="preserve"> </w:t>
      </w:r>
      <w:r w:rsidRPr="00F462B4">
        <w:rPr>
          <w:rFonts w:ascii="Arial" w:hAnsi="Arial" w:cs="Arial"/>
          <w:bCs/>
        </w:rPr>
        <w:t>Budget</w:t>
      </w:r>
      <w:r>
        <w:rPr>
          <w:rFonts w:ascii="Arial" w:hAnsi="Arial" w:cs="Arial"/>
          <w:bCs/>
        </w:rPr>
        <w:t>s</w:t>
      </w:r>
      <w:r w:rsidRPr="00F462B4">
        <w:rPr>
          <w:rFonts w:ascii="Arial" w:hAnsi="Arial" w:cs="Arial"/>
          <w:bCs/>
        </w:rPr>
        <w:t xml:space="preserve">. </w:t>
      </w:r>
      <w:r w:rsidRPr="00F462B4">
        <w:rPr>
          <w:rFonts w:ascii="Arial" w:hAnsi="Arial" w:cs="Arial"/>
        </w:rPr>
        <w:t>Where there are records of shortages of health care workers</w:t>
      </w:r>
      <w:r>
        <w:rPr>
          <w:rFonts w:ascii="Arial" w:hAnsi="Arial" w:cs="Arial"/>
        </w:rPr>
        <w:t xml:space="preserve"> </w:t>
      </w:r>
      <w:r w:rsidRPr="00F462B4">
        <w:rPr>
          <w:rFonts w:ascii="Arial" w:hAnsi="Arial" w:cs="Arial"/>
        </w:rPr>
        <w:t>(including Pharmacists</w:t>
      </w:r>
      <w:r>
        <w:rPr>
          <w:rFonts w:ascii="Arial" w:hAnsi="Arial" w:cs="Arial"/>
        </w:rPr>
        <w:t>)</w:t>
      </w:r>
      <w:r w:rsidRPr="00F462B4">
        <w:rPr>
          <w:rFonts w:ascii="Arial" w:hAnsi="Arial" w:cs="Arial"/>
        </w:rPr>
        <w:t xml:space="preserve">, the department mitigates by appointing contract employees to address shortages. To ensure further continuity of services, the department offers permanent employment where funding permits. </w:t>
      </w:r>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B29" w:rsidRDefault="00852B29" w:rsidP="00BF747C">
      <w:pPr>
        <w:spacing w:after="0" w:line="240" w:lineRule="auto"/>
      </w:pPr>
      <w:r>
        <w:separator/>
      </w:r>
    </w:p>
  </w:endnote>
  <w:endnote w:type="continuationSeparator" w:id="0">
    <w:p w:rsidR="00852B29" w:rsidRDefault="00852B29"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szCs w:val="24"/>
      </w:rPr>
      <w:id w:val="-788360148"/>
      <w:docPartObj>
        <w:docPartGallery w:val="Page Numbers (Bottom of Page)"/>
        <w:docPartUnique/>
      </w:docPartObj>
    </w:sdtPr>
    <w:sdtEndPr>
      <w:rPr>
        <w:noProof/>
      </w:rPr>
    </w:sdtEndPr>
    <w:sdtContent>
      <w:p w:rsidR="004833C7" w:rsidRPr="004833C7" w:rsidRDefault="00D44E72">
        <w:pPr>
          <w:pStyle w:val="Footer"/>
          <w:jc w:val="center"/>
          <w:rPr>
            <w:rFonts w:ascii="Arial" w:hAnsi="Arial" w:cs="Arial"/>
            <w:sz w:val="24"/>
            <w:szCs w:val="24"/>
          </w:rPr>
        </w:pPr>
        <w:r w:rsidRPr="004833C7">
          <w:rPr>
            <w:rFonts w:ascii="Arial" w:hAnsi="Arial" w:cs="Arial"/>
            <w:sz w:val="24"/>
            <w:szCs w:val="24"/>
          </w:rPr>
          <w:fldChar w:fldCharType="begin"/>
        </w:r>
        <w:r w:rsidR="004833C7" w:rsidRPr="004833C7">
          <w:rPr>
            <w:rFonts w:ascii="Arial" w:hAnsi="Arial" w:cs="Arial"/>
            <w:sz w:val="24"/>
            <w:szCs w:val="24"/>
          </w:rPr>
          <w:instrText xml:space="preserve"> PAGE   \* MERGEFORMAT </w:instrText>
        </w:r>
        <w:r w:rsidRPr="004833C7">
          <w:rPr>
            <w:rFonts w:ascii="Arial" w:hAnsi="Arial" w:cs="Arial"/>
            <w:sz w:val="24"/>
            <w:szCs w:val="24"/>
          </w:rPr>
          <w:fldChar w:fldCharType="separate"/>
        </w:r>
        <w:r w:rsidR="00852B29">
          <w:rPr>
            <w:rFonts w:ascii="Arial" w:hAnsi="Arial" w:cs="Arial"/>
            <w:noProof/>
            <w:sz w:val="24"/>
            <w:szCs w:val="24"/>
          </w:rPr>
          <w:t>1</w:t>
        </w:r>
        <w:r w:rsidRPr="004833C7">
          <w:rPr>
            <w:rFonts w:ascii="Arial" w:hAnsi="Arial" w:cs="Arial"/>
            <w:noProof/>
            <w:sz w:val="24"/>
            <w:szCs w:val="24"/>
          </w:rPr>
          <w:fldChar w:fldCharType="end"/>
        </w:r>
      </w:p>
    </w:sdtContent>
  </w:sdt>
  <w:p w:rsidR="004A44E4" w:rsidRPr="004833C7" w:rsidRDefault="004A44E4">
    <w:pPr>
      <w:pStyle w:val="Footer"/>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B29" w:rsidRDefault="00852B29" w:rsidP="00BF747C">
      <w:pPr>
        <w:spacing w:after="0" w:line="240" w:lineRule="auto"/>
      </w:pPr>
      <w:r>
        <w:separator/>
      </w:r>
    </w:p>
  </w:footnote>
  <w:footnote w:type="continuationSeparator" w:id="0">
    <w:p w:rsidR="00852B29" w:rsidRDefault="00852B29"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3240889"/>
    <w:multiLevelType w:val="hybridMultilevel"/>
    <w:tmpl w:val="AED466AE"/>
    <w:lvl w:ilvl="0" w:tplc="FAF078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2">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8">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9">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20">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5">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9">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1">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33"/>
  </w:num>
  <w:num w:numId="5">
    <w:abstractNumId w:val="10"/>
  </w:num>
  <w:num w:numId="6">
    <w:abstractNumId w:val="28"/>
  </w:num>
  <w:num w:numId="7">
    <w:abstractNumId w:val="17"/>
  </w:num>
  <w:num w:numId="8">
    <w:abstractNumId w:val="4"/>
  </w:num>
  <w:num w:numId="9">
    <w:abstractNumId w:val="16"/>
  </w:num>
  <w:num w:numId="10">
    <w:abstractNumId w:val="0"/>
  </w:num>
  <w:num w:numId="11">
    <w:abstractNumId w:val="7"/>
  </w:num>
  <w:num w:numId="12">
    <w:abstractNumId w:val="26"/>
  </w:num>
  <w:num w:numId="13">
    <w:abstractNumId w:val="32"/>
  </w:num>
  <w:num w:numId="14">
    <w:abstractNumId w:val="1"/>
  </w:num>
  <w:num w:numId="15">
    <w:abstractNumId w:val="2"/>
  </w:num>
  <w:num w:numId="16">
    <w:abstractNumId w:val="31"/>
  </w:num>
  <w:num w:numId="17">
    <w:abstractNumId w:val="22"/>
  </w:num>
  <w:num w:numId="18">
    <w:abstractNumId w:val="12"/>
  </w:num>
  <w:num w:numId="19">
    <w:abstractNumId w:val="15"/>
  </w:num>
  <w:num w:numId="20">
    <w:abstractNumId w:val="19"/>
  </w:num>
  <w:num w:numId="21">
    <w:abstractNumId w:val="14"/>
  </w:num>
  <w:num w:numId="22">
    <w:abstractNumId w:val="23"/>
  </w:num>
  <w:num w:numId="23">
    <w:abstractNumId w:val="5"/>
  </w:num>
  <w:num w:numId="24">
    <w:abstractNumId w:val="24"/>
  </w:num>
  <w:num w:numId="25">
    <w:abstractNumId w:val="30"/>
  </w:num>
  <w:num w:numId="26">
    <w:abstractNumId w:val="18"/>
  </w:num>
  <w:num w:numId="27">
    <w:abstractNumId w:val="25"/>
  </w:num>
  <w:num w:numId="28">
    <w:abstractNumId w:val="20"/>
  </w:num>
  <w:num w:numId="29">
    <w:abstractNumId w:val="27"/>
  </w:num>
  <w:num w:numId="30">
    <w:abstractNumId w:val="29"/>
  </w:num>
  <w:num w:numId="31">
    <w:abstractNumId w:val="9"/>
  </w:num>
  <w:num w:numId="32">
    <w:abstractNumId w:val="6"/>
  </w:num>
  <w:num w:numId="33">
    <w:abstractNumId w:val="13"/>
  </w:num>
  <w:num w:numId="3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2687"/>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406988"/>
    <w:rsid w:val="00412151"/>
    <w:rsid w:val="00437860"/>
    <w:rsid w:val="00447BE3"/>
    <w:rsid w:val="0046053B"/>
    <w:rsid w:val="00464595"/>
    <w:rsid w:val="00464B29"/>
    <w:rsid w:val="0047527C"/>
    <w:rsid w:val="004833C7"/>
    <w:rsid w:val="0048381C"/>
    <w:rsid w:val="00485DEE"/>
    <w:rsid w:val="00487777"/>
    <w:rsid w:val="004951A8"/>
    <w:rsid w:val="004A20EB"/>
    <w:rsid w:val="004A44E4"/>
    <w:rsid w:val="004B2E8A"/>
    <w:rsid w:val="004B46FE"/>
    <w:rsid w:val="004C5C74"/>
    <w:rsid w:val="004C6910"/>
    <w:rsid w:val="004D49AE"/>
    <w:rsid w:val="004E5B2F"/>
    <w:rsid w:val="004F4367"/>
    <w:rsid w:val="00527131"/>
    <w:rsid w:val="005419B3"/>
    <w:rsid w:val="00546927"/>
    <w:rsid w:val="00555563"/>
    <w:rsid w:val="0056197A"/>
    <w:rsid w:val="005A397E"/>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703F84"/>
    <w:rsid w:val="00734A14"/>
    <w:rsid w:val="007408C8"/>
    <w:rsid w:val="007416CD"/>
    <w:rsid w:val="007645A8"/>
    <w:rsid w:val="007D7229"/>
    <w:rsid w:val="007E1F8F"/>
    <w:rsid w:val="007E4D87"/>
    <w:rsid w:val="007F0AE0"/>
    <w:rsid w:val="00811F25"/>
    <w:rsid w:val="008124CC"/>
    <w:rsid w:val="00852B29"/>
    <w:rsid w:val="008642F2"/>
    <w:rsid w:val="00865AA2"/>
    <w:rsid w:val="008B5385"/>
    <w:rsid w:val="008C527F"/>
    <w:rsid w:val="0092546E"/>
    <w:rsid w:val="00942EDC"/>
    <w:rsid w:val="00960E2D"/>
    <w:rsid w:val="00974689"/>
    <w:rsid w:val="00980949"/>
    <w:rsid w:val="00994ED7"/>
    <w:rsid w:val="009B7939"/>
    <w:rsid w:val="009D32AF"/>
    <w:rsid w:val="009D5F2B"/>
    <w:rsid w:val="00A11769"/>
    <w:rsid w:val="00A14AFD"/>
    <w:rsid w:val="00A252AB"/>
    <w:rsid w:val="00A30F46"/>
    <w:rsid w:val="00A33B6B"/>
    <w:rsid w:val="00A654CA"/>
    <w:rsid w:val="00A904DA"/>
    <w:rsid w:val="00A952F9"/>
    <w:rsid w:val="00AA1D57"/>
    <w:rsid w:val="00AB6F3F"/>
    <w:rsid w:val="00B20DF2"/>
    <w:rsid w:val="00B268F2"/>
    <w:rsid w:val="00B416FF"/>
    <w:rsid w:val="00B66983"/>
    <w:rsid w:val="00BB3958"/>
    <w:rsid w:val="00BB75F5"/>
    <w:rsid w:val="00BE1738"/>
    <w:rsid w:val="00BF747C"/>
    <w:rsid w:val="00C057AA"/>
    <w:rsid w:val="00C2436E"/>
    <w:rsid w:val="00C36128"/>
    <w:rsid w:val="00C92B3D"/>
    <w:rsid w:val="00C94EDC"/>
    <w:rsid w:val="00CA029B"/>
    <w:rsid w:val="00CD4399"/>
    <w:rsid w:val="00CD6087"/>
    <w:rsid w:val="00CD65DE"/>
    <w:rsid w:val="00CE2151"/>
    <w:rsid w:val="00CF0B96"/>
    <w:rsid w:val="00D30447"/>
    <w:rsid w:val="00D44E72"/>
    <w:rsid w:val="00D514C2"/>
    <w:rsid w:val="00D566C6"/>
    <w:rsid w:val="00D702F8"/>
    <w:rsid w:val="00D8503D"/>
    <w:rsid w:val="00DA1943"/>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84419"/>
    <w:rsid w:val="00E9419C"/>
    <w:rsid w:val="00EA7633"/>
    <w:rsid w:val="00EB3463"/>
    <w:rsid w:val="00EB790D"/>
    <w:rsid w:val="00EC5EED"/>
    <w:rsid w:val="00ED304B"/>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E72"/>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2023-06-13T09:49:00Z</dcterms:created>
  <dcterms:modified xsi:type="dcterms:W3CDTF">2023-06-13T09:49:00Z</dcterms:modified>
</cp:coreProperties>
</file>