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BC5945" w:rsidRPr="00DC6183" w:rsidRDefault="00BC5945" w:rsidP="00BC5945">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BC5945" w:rsidRPr="00DC6183" w:rsidRDefault="00BC5945" w:rsidP="00BC5945">
      <w:pPr>
        <w:jc w:val="center"/>
        <w:rPr>
          <w:rFonts w:ascii="Arial" w:hAnsi="Arial" w:cs="Arial"/>
          <w:b/>
          <w:bCs/>
          <w:lang w:val="en-ZA"/>
        </w:rPr>
      </w:pPr>
      <w:r w:rsidRPr="00DC6183">
        <w:rPr>
          <w:rFonts w:ascii="Arial" w:hAnsi="Arial" w:cs="Arial"/>
          <w:b/>
          <w:bCs/>
          <w:lang w:val="en-ZA"/>
        </w:rPr>
        <w:t>FOR WRITTEN REPLY</w:t>
      </w:r>
    </w:p>
    <w:p w:rsidR="00BC5945" w:rsidRPr="00DC6183" w:rsidRDefault="00BC5945" w:rsidP="00BC5945">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1453</w:t>
      </w:r>
    </w:p>
    <w:p w:rsidR="00BC5945" w:rsidRPr="00DC6183" w:rsidRDefault="00BC5945" w:rsidP="00BC5945">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05</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23</w:t>
      </w:r>
    </w:p>
    <w:p w:rsidR="00BC5945" w:rsidRPr="00FF2AAB" w:rsidRDefault="00BC5945" w:rsidP="00BC5945">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15</w:t>
      </w:r>
      <w:r w:rsidRPr="00DC6183">
        <w:rPr>
          <w:rFonts w:ascii="Arial" w:hAnsi="Arial" w:cs="Arial"/>
          <w:b/>
          <w:bCs/>
          <w:lang w:val="en-ZA"/>
        </w:rPr>
        <w:t xml:space="preserve"> OF 20</w:t>
      </w:r>
      <w:r>
        <w:rPr>
          <w:rFonts w:ascii="Arial" w:hAnsi="Arial" w:cs="Arial"/>
          <w:b/>
          <w:bCs/>
          <w:lang w:val="en-ZA"/>
        </w:rPr>
        <w:t>23</w:t>
      </w:r>
    </w:p>
    <w:p w:rsidR="00BC5945" w:rsidRPr="008A376F" w:rsidRDefault="00BC5945" w:rsidP="00BC5945">
      <w:pPr>
        <w:spacing w:before="100" w:beforeAutospacing="1" w:after="100" w:afterAutospacing="1" w:line="360" w:lineRule="auto"/>
        <w:ind w:left="709" w:hanging="709"/>
        <w:jc w:val="both"/>
        <w:rPr>
          <w:rFonts w:ascii="Arial" w:hAnsi="Arial" w:cs="Arial"/>
          <w:b/>
          <w:lang w:val="en-US"/>
        </w:rPr>
      </w:pPr>
      <w:r w:rsidRPr="008A376F">
        <w:rPr>
          <w:rFonts w:ascii="Arial" w:hAnsi="Arial" w:cs="Arial"/>
          <w:b/>
          <w:lang w:val="en-US"/>
        </w:rPr>
        <w:t>Mr T Mogale (EFF) to ask the Minister of Higher Education, Science and Innovation</w:t>
      </w:r>
      <w:r w:rsidR="009829DD" w:rsidRPr="008A376F">
        <w:rPr>
          <w:rFonts w:ascii="Arial" w:hAnsi="Arial" w:cs="Arial"/>
          <w:b/>
          <w:lang w:val="en-US"/>
        </w:rPr>
        <w:fldChar w:fldCharType="begin"/>
      </w:r>
      <w:r w:rsidRPr="008A376F">
        <w:rPr>
          <w:rFonts w:ascii="Arial" w:hAnsi="Arial" w:cs="Arial"/>
          <w:lang w:val="en-ZA"/>
        </w:rPr>
        <w:instrText xml:space="preserve"> XE "</w:instrText>
      </w:r>
      <w:r w:rsidRPr="008A376F">
        <w:rPr>
          <w:rFonts w:ascii="Arial" w:hAnsi="Arial" w:cs="Arial"/>
          <w:b/>
          <w:lang w:val="en-US"/>
        </w:rPr>
        <w:instrText>Higher Education, Science and Innovation</w:instrText>
      </w:r>
      <w:r w:rsidRPr="008A376F">
        <w:rPr>
          <w:rFonts w:ascii="Arial" w:hAnsi="Arial" w:cs="Arial"/>
          <w:lang w:val="en-ZA"/>
        </w:rPr>
        <w:instrText xml:space="preserve">" </w:instrText>
      </w:r>
      <w:r w:rsidR="009829DD" w:rsidRPr="008A376F">
        <w:rPr>
          <w:rFonts w:ascii="Arial" w:hAnsi="Arial" w:cs="Arial"/>
          <w:b/>
          <w:lang w:val="en-US"/>
        </w:rPr>
        <w:fldChar w:fldCharType="end"/>
      </w:r>
      <w:r w:rsidRPr="008A376F">
        <w:rPr>
          <w:rFonts w:ascii="Arial" w:hAnsi="Arial" w:cs="Arial"/>
          <w:b/>
          <w:lang w:val="en-US"/>
        </w:rPr>
        <w:t>:</w:t>
      </w:r>
    </w:p>
    <w:p w:rsidR="00BC5945" w:rsidRDefault="00BC5945" w:rsidP="00BC5945">
      <w:pPr>
        <w:spacing w:before="100" w:beforeAutospacing="1" w:after="100" w:afterAutospacing="1" w:line="360" w:lineRule="auto"/>
        <w:ind w:left="720"/>
        <w:jc w:val="both"/>
        <w:rPr>
          <w:rFonts w:ascii="Arial" w:hAnsi="Arial" w:cs="Arial"/>
          <w:lang w:val="en-ZA"/>
        </w:rPr>
      </w:pPr>
      <w:r w:rsidRPr="00310917">
        <w:rPr>
          <w:rFonts w:ascii="Arial" w:hAnsi="Arial" w:cs="Arial"/>
          <w:lang w:val="en-ZA"/>
        </w:rPr>
        <w:t>Given that Indigenous Knowledge Registration Systems (IKRS) have been cited by his department as pivotal systems in the preservation of indigenous knowledge, (a) what kind of indigenous knowledge is stored in the specified systems and (b) how accessible are the IKRS to the (</w:t>
      </w:r>
      <w:proofErr w:type="spellStart"/>
      <w:r w:rsidRPr="00310917">
        <w:rPr>
          <w:rFonts w:ascii="Arial" w:hAnsi="Arial" w:cs="Arial"/>
          <w:lang w:val="en-ZA"/>
        </w:rPr>
        <w:t>i</w:t>
      </w:r>
      <w:proofErr w:type="spellEnd"/>
      <w:r w:rsidRPr="00310917">
        <w:rPr>
          <w:rFonts w:ascii="Arial" w:hAnsi="Arial" w:cs="Arial"/>
          <w:lang w:val="en-ZA"/>
        </w:rPr>
        <w:t>) general public and (ii) academic populace?</w:t>
      </w:r>
      <w:r w:rsidRPr="00310917">
        <w:rPr>
          <w:rFonts w:ascii="Arial" w:hAnsi="Arial" w:cs="Arial"/>
          <w:lang w:val="en-ZA"/>
        </w:rPr>
        <w:tab/>
      </w:r>
      <w:r w:rsidRPr="00310917">
        <w:rPr>
          <w:rFonts w:ascii="Arial" w:hAnsi="Arial" w:cs="Arial"/>
          <w:lang w:val="en-ZA"/>
        </w:rPr>
        <w:tab/>
      </w:r>
    </w:p>
    <w:p w:rsidR="00BC5945" w:rsidRPr="00310917" w:rsidRDefault="00BC5945" w:rsidP="00BC5945">
      <w:pPr>
        <w:spacing w:before="100" w:beforeAutospacing="1" w:after="100" w:afterAutospacing="1" w:line="360" w:lineRule="auto"/>
        <w:ind w:left="7200" w:firstLine="720"/>
        <w:jc w:val="both"/>
        <w:rPr>
          <w:rFonts w:ascii="Arial" w:hAnsi="Arial" w:cs="Arial"/>
          <w:b/>
          <w:bCs/>
          <w:lang w:val="en-ZA"/>
        </w:rPr>
      </w:pPr>
      <w:r w:rsidRPr="00310917">
        <w:rPr>
          <w:rFonts w:ascii="Arial" w:hAnsi="Arial" w:cs="Arial"/>
          <w:b/>
          <w:bCs/>
          <w:lang w:val="en-ZA"/>
        </w:rPr>
        <w:t>NW1681E</w:t>
      </w:r>
    </w:p>
    <w:p w:rsidR="00BC5945" w:rsidRDefault="00BC5945" w:rsidP="00BC5945">
      <w:pPr>
        <w:spacing w:before="100" w:beforeAutospacing="1" w:after="100" w:afterAutospacing="1" w:line="360" w:lineRule="auto"/>
        <w:jc w:val="both"/>
        <w:rPr>
          <w:rFonts w:ascii="Arial" w:hAnsi="Arial" w:cs="Arial"/>
          <w:b/>
        </w:rPr>
      </w:pPr>
    </w:p>
    <w:p w:rsidR="00BC5945" w:rsidRDefault="00BC5945" w:rsidP="00BC5945">
      <w:pPr>
        <w:spacing w:before="100" w:beforeAutospacing="1" w:after="100" w:afterAutospacing="1" w:line="360" w:lineRule="auto"/>
        <w:jc w:val="both"/>
        <w:rPr>
          <w:rFonts w:ascii="Arial" w:hAnsi="Arial" w:cs="Arial"/>
          <w:b/>
        </w:rPr>
      </w:pPr>
    </w:p>
    <w:p w:rsidR="00BC5945" w:rsidRDefault="00BC5945" w:rsidP="00BC5945">
      <w:pPr>
        <w:spacing w:before="100" w:beforeAutospacing="1" w:after="100" w:afterAutospacing="1" w:line="360" w:lineRule="auto"/>
        <w:jc w:val="both"/>
        <w:rPr>
          <w:rFonts w:ascii="Arial" w:hAnsi="Arial" w:cs="Arial"/>
          <w:b/>
        </w:rPr>
      </w:pPr>
    </w:p>
    <w:p w:rsidR="00BC5945" w:rsidRDefault="00BC5945" w:rsidP="00BC5945">
      <w:pPr>
        <w:spacing w:before="100" w:beforeAutospacing="1" w:after="100" w:afterAutospacing="1" w:line="360" w:lineRule="auto"/>
        <w:jc w:val="both"/>
        <w:rPr>
          <w:rFonts w:ascii="Arial" w:hAnsi="Arial" w:cs="Arial"/>
          <w:b/>
        </w:rPr>
      </w:pPr>
    </w:p>
    <w:p w:rsidR="00BC5945" w:rsidRDefault="00BC5945" w:rsidP="00BC5945">
      <w:pPr>
        <w:spacing w:before="100" w:beforeAutospacing="1" w:after="100" w:afterAutospacing="1" w:line="360" w:lineRule="auto"/>
        <w:jc w:val="both"/>
        <w:rPr>
          <w:rFonts w:ascii="Arial" w:hAnsi="Arial" w:cs="Arial"/>
          <w:b/>
        </w:rPr>
      </w:pPr>
    </w:p>
    <w:p w:rsidR="00BC5945" w:rsidRDefault="00BC5945" w:rsidP="00BC5945">
      <w:pPr>
        <w:spacing w:before="100" w:beforeAutospacing="1" w:after="100" w:afterAutospacing="1" w:line="360" w:lineRule="auto"/>
        <w:jc w:val="both"/>
        <w:rPr>
          <w:rFonts w:ascii="Arial" w:hAnsi="Arial" w:cs="Arial"/>
          <w:b/>
        </w:rPr>
      </w:pPr>
    </w:p>
    <w:p w:rsidR="00BC5945" w:rsidRDefault="00BC5945" w:rsidP="00BC5945">
      <w:pPr>
        <w:spacing w:before="100" w:beforeAutospacing="1" w:after="100" w:afterAutospacing="1" w:line="360" w:lineRule="auto"/>
        <w:jc w:val="both"/>
        <w:rPr>
          <w:rFonts w:ascii="Arial" w:hAnsi="Arial" w:cs="Arial"/>
          <w:b/>
        </w:rPr>
      </w:pPr>
    </w:p>
    <w:p w:rsidR="00BC5945" w:rsidRDefault="00BC5945" w:rsidP="00BC5945">
      <w:pPr>
        <w:spacing w:before="100" w:beforeAutospacing="1" w:after="100" w:afterAutospacing="1" w:line="360" w:lineRule="auto"/>
        <w:jc w:val="both"/>
        <w:rPr>
          <w:rFonts w:ascii="Arial" w:hAnsi="Arial" w:cs="Arial"/>
          <w:b/>
        </w:rPr>
      </w:pPr>
    </w:p>
    <w:p w:rsidR="00BC5945" w:rsidRDefault="00BC5945" w:rsidP="00BC5945">
      <w:pPr>
        <w:spacing w:before="100" w:beforeAutospacing="1" w:after="100" w:afterAutospacing="1" w:line="360" w:lineRule="auto"/>
        <w:jc w:val="both"/>
        <w:rPr>
          <w:rFonts w:ascii="Arial" w:hAnsi="Arial" w:cs="Arial"/>
          <w:b/>
        </w:rPr>
      </w:pPr>
    </w:p>
    <w:p w:rsidR="00BC5945" w:rsidRDefault="00BC5945" w:rsidP="00BC5945">
      <w:pPr>
        <w:spacing w:before="100" w:beforeAutospacing="1" w:after="100" w:afterAutospacing="1" w:line="360" w:lineRule="auto"/>
        <w:jc w:val="both"/>
        <w:rPr>
          <w:rFonts w:ascii="Arial" w:hAnsi="Arial" w:cs="Arial"/>
          <w:b/>
        </w:rPr>
      </w:pPr>
    </w:p>
    <w:p w:rsidR="00BC5945" w:rsidRPr="00FD31D6" w:rsidRDefault="00BC5945" w:rsidP="00BC5945">
      <w:pPr>
        <w:spacing w:before="100" w:beforeAutospacing="1" w:after="100" w:afterAutospacing="1" w:line="360" w:lineRule="auto"/>
        <w:jc w:val="both"/>
        <w:rPr>
          <w:rFonts w:ascii="Arial" w:hAnsi="Arial" w:cs="Arial"/>
          <w:b/>
          <w:bCs/>
        </w:rPr>
      </w:pPr>
      <w:r w:rsidRPr="004F3DF8">
        <w:rPr>
          <w:rFonts w:ascii="Arial" w:hAnsi="Arial" w:cs="Arial"/>
          <w:b/>
        </w:rPr>
        <w:lastRenderedPageBreak/>
        <w:t>REPLY:</w:t>
      </w:r>
    </w:p>
    <w:bookmarkEnd w:id="0"/>
    <w:p w:rsidR="00BC5945" w:rsidRPr="00BB1FB3" w:rsidRDefault="00BC5945" w:rsidP="00BC5945">
      <w:pPr>
        <w:numPr>
          <w:ilvl w:val="0"/>
          <w:numId w:val="47"/>
        </w:numPr>
        <w:spacing w:after="0" w:line="360" w:lineRule="auto"/>
        <w:ind w:hanging="720"/>
        <w:jc w:val="both"/>
        <w:rPr>
          <w:rFonts w:ascii="Arial" w:eastAsia="Times New Roman" w:hAnsi="Arial" w:cs="Arial"/>
          <w:b/>
        </w:rPr>
      </w:pPr>
      <w:r w:rsidRPr="00BB1FB3">
        <w:rPr>
          <w:rFonts w:ascii="Arial" w:eastAsia="Times New Roman" w:hAnsi="Arial" w:cs="Arial"/>
          <w:b/>
        </w:rPr>
        <w:t>What kind of indigenous knowledge is stored in the specified system?</w:t>
      </w:r>
    </w:p>
    <w:p w:rsidR="00BC5945" w:rsidRPr="00BB1FB3" w:rsidRDefault="00BC5945" w:rsidP="00BC5945">
      <w:pPr>
        <w:spacing w:after="0" w:line="360" w:lineRule="auto"/>
        <w:jc w:val="both"/>
        <w:rPr>
          <w:rFonts w:ascii="Arial" w:eastAsia="Times New Roman" w:hAnsi="Arial" w:cs="Arial"/>
        </w:rPr>
      </w:pPr>
    </w:p>
    <w:p w:rsidR="00BC5945" w:rsidRPr="00BB1FB3" w:rsidRDefault="00BC5945" w:rsidP="00BC5945">
      <w:pPr>
        <w:spacing w:after="0" w:line="360" w:lineRule="auto"/>
        <w:ind w:left="709"/>
        <w:jc w:val="both"/>
        <w:rPr>
          <w:rFonts w:ascii="Arial" w:eastAsia="Times New Roman" w:hAnsi="Arial" w:cs="Arial"/>
        </w:rPr>
      </w:pPr>
      <w:r w:rsidRPr="00BB1FB3">
        <w:rPr>
          <w:rFonts w:ascii="Arial" w:eastAsia="Times New Roman" w:hAnsi="Arial" w:cs="Arial"/>
        </w:rPr>
        <w:t>The knowledge in the system is constructed around indigenous claims of communities across the country. It includes knowledge on African Traditional Medicine, indigenous food, agriculture, astronomy, arts and culture, governance and other Indigenous Knowledge disciplines. The current metadata makes provision for multimedia recordings of African Traditional Medicine and indigenous food.</w:t>
      </w:r>
    </w:p>
    <w:p w:rsidR="00BC5945" w:rsidRPr="00BB1FB3" w:rsidRDefault="00BC5945" w:rsidP="00BC5945">
      <w:pPr>
        <w:spacing w:after="0" w:line="360" w:lineRule="auto"/>
        <w:ind w:left="709"/>
        <w:jc w:val="both"/>
        <w:rPr>
          <w:rFonts w:ascii="Arial" w:eastAsia="Times New Roman" w:hAnsi="Arial" w:cs="Arial"/>
        </w:rPr>
      </w:pPr>
    </w:p>
    <w:p w:rsidR="00BC5945" w:rsidRPr="00BB1FB3" w:rsidRDefault="00BC5945" w:rsidP="00BC5945">
      <w:pPr>
        <w:spacing w:after="0" w:line="360" w:lineRule="auto"/>
        <w:ind w:left="709"/>
        <w:jc w:val="both"/>
        <w:rPr>
          <w:rFonts w:ascii="Arial" w:eastAsia="Times New Roman" w:hAnsi="Arial" w:cs="Arial"/>
        </w:rPr>
      </w:pPr>
      <w:r w:rsidRPr="00BB1FB3">
        <w:rPr>
          <w:rFonts w:ascii="Arial" w:eastAsia="Times New Roman" w:hAnsi="Arial" w:cs="Arial"/>
        </w:rPr>
        <w:t>The other knowledge in the system is the Pharmacopoeia, that is, a list detailing various medicinal plants and their treatments to different ailments.</w:t>
      </w:r>
    </w:p>
    <w:p w:rsidR="00BC5945" w:rsidRPr="00BB1FB3" w:rsidRDefault="00BC5945" w:rsidP="00BC5945">
      <w:pPr>
        <w:spacing w:after="0" w:line="360" w:lineRule="auto"/>
        <w:ind w:left="720"/>
        <w:jc w:val="both"/>
        <w:rPr>
          <w:rFonts w:ascii="Arial" w:eastAsia="Times New Roman" w:hAnsi="Arial" w:cs="Times New Roman"/>
          <w:i/>
        </w:rPr>
      </w:pPr>
    </w:p>
    <w:p w:rsidR="00BC5945" w:rsidRPr="00BB1FB3" w:rsidRDefault="00BC5945" w:rsidP="00BC5945">
      <w:pPr>
        <w:numPr>
          <w:ilvl w:val="0"/>
          <w:numId w:val="47"/>
        </w:numPr>
        <w:spacing w:after="0" w:line="360" w:lineRule="auto"/>
        <w:ind w:hanging="720"/>
        <w:jc w:val="both"/>
        <w:rPr>
          <w:rFonts w:ascii="Arial" w:eastAsia="Times New Roman" w:hAnsi="Arial" w:cs="Arial"/>
          <w:b/>
        </w:rPr>
      </w:pPr>
      <w:r w:rsidRPr="00BB1FB3">
        <w:rPr>
          <w:rFonts w:ascii="Arial" w:eastAsia="Times New Roman" w:hAnsi="Arial" w:cs="Arial"/>
          <w:b/>
        </w:rPr>
        <w:t>How accessible are the IKRS to (</w:t>
      </w:r>
      <w:proofErr w:type="spellStart"/>
      <w:r w:rsidRPr="00BB1FB3">
        <w:rPr>
          <w:rFonts w:ascii="Arial" w:eastAsia="Times New Roman" w:hAnsi="Arial" w:cs="Arial"/>
          <w:b/>
        </w:rPr>
        <w:t>i</w:t>
      </w:r>
      <w:proofErr w:type="spellEnd"/>
      <w:r w:rsidRPr="00BB1FB3">
        <w:rPr>
          <w:rFonts w:ascii="Arial" w:eastAsia="Times New Roman" w:hAnsi="Arial" w:cs="Arial"/>
          <w:b/>
        </w:rPr>
        <w:t xml:space="preserve">) general public and (ii) academic </w:t>
      </w:r>
      <w:proofErr w:type="spellStart"/>
      <w:r w:rsidRPr="00BB1FB3">
        <w:rPr>
          <w:rFonts w:ascii="Arial" w:eastAsia="Times New Roman" w:hAnsi="Arial" w:cs="Arial"/>
          <w:b/>
        </w:rPr>
        <w:t>populance</w:t>
      </w:r>
      <w:proofErr w:type="spellEnd"/>
      <w:r w:rsidRPr="00BB1FB3">
        <w:rPr>
          <w:rFonts w:ascii="Arial" w:eastAsia="Times New Roman" w:hAnsi="Arial" w:cs="Arial"/>
          <w:b/>
        </w:rPr>
        <w:t>.</w:t>
      </w:r>
    </w:p>
    <w:p w:rsidR="00BC5945" w:rsidRPr="00BB1FB3" w:rsidRDefault="00BC5945" w:rsidP="00BC5945">
      <w:pPr>
        <w:spacing w:after="0" w:line="360" w:lineRule="auto"/>
        <w:jc w:val="both"/>
        <w:rPr>
          <w:rFonts w:ascii="Arial" w:eastAsia="Times New Roman" w:hAnsi="Arial" w:cs="Arial"/>
          <w:b/>
        </w:rPr>
      </w:pPr>
      <w:r w:rsidRPr="00BB1FB3">
        <w:rPr>
          <w:rFonts w:ascii="Arial" w:eastAsia="Times New Roman" w:hAnsi="Arial" w:cs="Arial"/>
          <w:b/>
        </w:rPr>
        <w:t xml:space="preserve"> </w:t>
      </w:r>
    </w:p>
    <w:p w:rsidR="00BC5945" w:rsidRPr="00BB1FB3" w:rsidRDefault="00BC5945" w:rsidP="00BC5945">
      <w:pPr>
        <w:spacing w:after="0" w:line="360" w:lineRule="auto"/>
        <w:ind w:left="709"/>
        <w:jc w:val="both"/>
        <w:rPr>
          <w:rFonts w:ascii="Arial" w:eastAsia="Times New Roman" w:hAnsi="Arial" w:cs="Arial"/>
        </w:rPr>
      </w:pPr>
      <w:r w:rsidRPr="00BB1FB3">
        <w:rPr>
          <w:rFonts w:ascii="Arial" w:eastAsia="Times New Roman" w:hAnsi="Arial" w:cs="Arial"/>
        </w:rPr>
        <w:t>The system has different levels of access, that is, open access and confidential access.</w:t>
      </w:r>
    </w:p>
    <w:p w:rsidR="00BC5945" w:rsidRPr="00BB1FB3" w:rsidRDefault="00BC5945" w:rsidP="00BC5945">
      <w:pPr>
        <w:spacing w:after="0" w:line="360" w:lineRule="auto"/>
        <w:ind w:left="709"/>
        <w:jc w:val="both"/>
        <w:rPr>
          <w:rFonts w:ascii="Arial" w:eastAsia="Times New Roman" w:hAnsi="Arial" w:cs="Arial"/>
        </w:rPr>
      </w:pPr>
    </w:p>
    <w:p w:rsidR="00BC5945" w:rsidRPr="00BB1FB3" w:rsidRDefault="00BC5945" w:rsidP="00BC5945">
      <w:pPr>
        <w:numPr>
          <w:ilvl w:val="0"/>
          <w:numId w:val="48"/>
        </w:numPr>
        <w:spacing w:after="0" w:line="360" w:lineRule="auto"/>
        <w:jc w:val="both"/>
        <w:rPr>
          <w:rFonts w:ascii="Arial" w:eastAsia="Times New Roman" w:hAnsi="Arial" w:cs="Arial"/>
          <w:b/>
          <w:bCs/>
        </w:rPr>
      </w:pPr>
      <w:r w:rsidRPr="00BB1FB3">
        <w:rPr>
          <w:rFonts w:ascii="Arial" w:eastAsia="Times New Roman" w:hAnsi="Arial" w:cs="Arial"/>
          <w:b/>
          <w:bCs/>
        </w:rPr>
        <w:t>The public</w:t>
      </w:r>
    </w:p>
    <w:p w:rsidR="00BC5945" w:rsidRPr="00BB1FB3" w:rsidRDefault="00BC5945" w:rsidP="00BC5945">
      <w:pPr>
        <w:spacing w:after="0" w:line="360" w:lineRule="auto"/>
        <w:ind w:left="709"/>
        <w:jc w:val="both"/>
        <w:rPr>
          <w:rFonts w:ascii="Arial" w:eastAsia="Times New Roman" w:hAnsi="Arial" w:cs="Arial"/>
        </w:rPr>
      </w:pPr>
      <w:r w:rsidRPr="00BB1FB3">
        <w:rPr>
          <w:rFonts w:ascii="Arial" w:eastAsia="Times New Roman" w:hAnsi="Arial" w:cs="Arial"/>
        </w:rPr>
        <w:t>The public can access the National Indigenous Systems Office (NIKSO) page. It is constituted by the 2019 IK Act in all 11 official written languages.</w:t>
      </w:r>
    </w:p>
    <w:p w:rsidR="00BC5945" w:rsidRPr="00BB1FB3" w:rsidRDefault="00BC5945" w:rsidP="00BC5945">
      <w:pPr>
        <w:spacing w:after="0" w:line="360" w:lineRule="auto"/>
        <w:ind w:left="709"/>
        <w:jc w:val="both"/>
        <w:rPr>
          <w:rFonts w:ascii="Arial" w:eastAsia="Times New Roman" w:hAnsi="Arial" w:cs="Arial"/>
        </w:rPr>
      </w:pPr>
    </w:p>
    <w:p w:rsidR="00BC5945" w:rsidRPr="00BB1FB3" w:rsidRDefault="00BC5945" w:rsidP="00BC5945">
      <w:pPr>
        <w:spacing w:after="0" w:line="360" w:lineRule="auto"/>
        <w:ind w:left="709"/>
        <w:jc w:val="both"/>
        <w:rPr>
          <w:rFonts w:ascii="Arial" w:eastAsia="Times New Roman" w:hAnsi="Arial" w:cs="Arial"/>
        </w:rPr>
      </w:pPr>
      <w:r w:rsidRPr="00BB1FB3">
        <w:rPr>
          <w:rFonts w:ascii="Arial" w:eastAsia="Times New Roman" w:hAnsi="Arial" w:cs="Arial"/>
        </w:rPr>
        <w:t xml:space="preserve">The IK contents of community’s multimedia recordings is classified for confidential access only and it is not open to the public as the IK Regulations governing such access has not yet been </w:t>
      </w:r>
      <w:proofErr w:type="gramStart"/>
      <w:r w:rsidRPr="00BB1FB3">
        <w:rPr>
          <w:rFonts w:ascii="Arial" w:eastAsia="Times New Roman" w:hAnsi="Arial" w:cs="Arial"/>
        </w:rPr>
        <w:t>Gazetted</w:t>
      </w:r>
      <w:proofErr w:type="gramEnd"/>
      <w:r w:rsidRPr="00BB1FB3">
        <w:rPr>
          <w:rFonts w:ascii="Arial" w:eastAsia="Times New Roman" w:hAnsi="Arial" w:cs="Arial"/>
        </w:rPr>
        <w:t>.</w:t>
      </w:r>
    </w:p>
    <w:p w:rsidR="00BC5945" w:rsidRPr="00BB1FB3" w:rsidRDefault="00BC5945" w:rsidP="00BC5945">
      <w:pPr>
        <w:spacing w:after="0" w:line="360" w:lineRule="auto"/>
        <w:ind w:left="709"/>
        <w:jc w:val="both"/>
        <w:rPr>
          <w:rFonts w:ascii="Arial" w:eastAsia="Times New Roman" w:hAnsi="Arial" w:cs="Arial"/>
        </w:rPr>
      </w:pPr>
    </w:p>
    <w:p w:rsidR="00BC5945" w:rsidRPr="00BB1FB3" w:rsidRDefault="00BC5945" w:rsidP="00BC5945">
      <w:pPr>
        <w:numPr>
          <w:ilvl w:val="0"/>
          <w:numId w:val="48"/>
        </w:numPr>
        <w:spacing w:after="0" w:line="360" w:lineRule="auto"/>
        <w:jc w:val="both"/>
        <w:rPr>
          <w:rFonts w:ascii="Arial" w:eastAsia="Times New Roman" w:hAnsi="Arial" w:cs="Arial"/>
          <w:b/>
          <w:bCs/>
        </w:rPr>
      </w:pPr>
      <w:r w:rsidRPr="00BB1FB3">
        <w:rPr>
          <w:rFonts w:ascii="Arial" w:eastAsia="Times New Roman" w:hAnsi="Arial" w:cs="Arial"/>
          <w:b/>
          <w:bCs/>
        </w:rPr>
        <w:t>The academic populace</w:t>
      </w:r>
    </w:p>
    <w:p w:rsidR="00BD00C9" w:rsidRPr="00BC5945" w:rsidRDefault="00BC5945" w:rsidP="00BC5945">
      <w:pPr>
        <w:spacing w:after="0" w:line="360" w:lineRule="auto"/>
        <w:ind w:left="709"/>
        <w:jc w:val="both"/>
        <w:rPr>
          <w:rFonts w:ascii="Arial" w:eastAsia="Times New Roman" w:hAnsi="Arial" w:cs="Arial"/>
        </w:rPr>
      </w:pPr>
      <w:r w:rsidRPr="00BB1FB3">
        <w:rPr>
          <w:rFonts w:ascii="Arial" w:eastAsia="Times New Roman" w:hAnsi="Arial" w:cs="Arial"/>
        </w:rPr>
        <w:t xml:space="preserve">The academic </w:t>
      </w:r>
      <w:proofErr w:type="spellStart"/>
      <w:r w:rsidRPr="00BB1FB3">
        <w:rPr>
          <w:rFonts w:ascii="Arial" w:eastAsia="Times New Roman" w:hAnsi="Arial" w:cs="Arial"/>
        </w:rPr>
        <w:t>populance</w:t>
      </w:r>
      <w:proofErr w:type="spellEnd"/>
      <w:r w:rsidRPr="00BB1FB3">
        <w:rPr>
          <w:rFonts w:ascii="Arial" w:eastAsia="Times New Roman" w:hAnsi="Arial" w:cs="Arial"/>
        </w:rPr>
        <w:t xml:space="preserve"> can access the Pharmacopoeia and the NIKSO page.</w:t>
      </w:r>
    </w:p>
    <w:sectPr w:rsidR="00BD00C9" w:rsidRPr="00BC5945"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3FB" w:rsidRDefault="005943FB">
      <w:pPr>
        <w:spacing w:after="0" w:line="240" w:lineRule="auto"/>
      </w:pPr>
      <w:r>
        <w:separator/>
      </w:r>
    </w:p>
  </w:endnote>
  <w:endnote w:type="continuationSeparator" w:id="0">
    <w:p w:rsidR="005943FB" w:rsidRDefault="00594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3FB" w:rsidRDefault="005943FB">
      <w:pPr>
        <w:spacing w:after="0" w:line="240" w:lineRule="auto"/>
      </w:pPr>
      <w:r>
        <w:separator/>
      </w:r>
    </w:p>
  </w:footnote>
  <w:footnote w:type="continuationSeparator" w:id="0">
    <w:p w:rsidR="005943FB" w:rsidRDefault="005943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9A5A86"/>
    <w:multiLevelType w:val="hybridMultilevel"/>
    <w:tmpl w:val="EF30BEE0"/>
    <w:lvl w:ilvl="0" w:tplc="BE22CF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4">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5">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C2E6A4C"/>
    <w:multiLevelType w:val="hybridMultilevel"/>
    <w:tmpl w:val="456A4D6A"/>
    <w:lvl w:ilvl="0" w:tplc="F19EEC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B119F5"/>
    <w:multiLevelType w:val="hybridMultilevel"/>
    <w:tmpl w:val="8ADC8686"/>
    <w:lvl w:ilvl="0" w:tplc="8C6C8E2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754608"/>
    <w:multiLevelType w:val="hybridMultilevel"/>
    <w:tmpl w:val="04323B92"/>
    <w:lvl w:ilvl="0" w:tplc="889A20D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EAD0BE3"/>
    <w:multiLevelType w:val="hybridMultilevel"/>
    <w:tmpl w:val="D07E26EE"/>
    <w:lvl w:ilvl="0" w:tplc="F5CA0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8">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A2876E2"/>
    <w:multiLevelType w:val="hybridMultilevel"/>
    <w:tmpl w:val="9C68CD46"/>
    <w:lvl w:ilvl="0" w:tplc="1C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3">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0655D9B"/>
    <w:multiLevelType w:val="hybridMultilevel"/>
    <w:tmpl w:val="934E8418"/>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7946F95"/>
    <w:multiLevelType w:val="hybridMultilevel"/>
    <w:tmpl w:val="33DAA24C"/>
    <w:lvl w:ilvl="0" w:tplc="504E4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FFA1C83"/>
    <w:multiLevelType w:val="hybridMultilevel"/>
    <w:tmpl w:val="16BC926A"/>
    <w:lvl w:ilvl="0" w:tplc="601EB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0C34207"/>
    <w:multiLevelType w:val="hybridMultilevel"/>
    <w:tmpl w:val="DE3AEA80"/>
    <w:lvl w:ilvl="0" w:tplc="4C2228D6">
      <w:start w:val="1"/>
      <w:numFmt w:val="decimal"/>
      <w:lvlText w:val="%1."/>
      <w:lvlJc w:val="left"/>
      <w:pPr>
        <w:ind w:left="720" w:hanging="360"/>
      </w:pPr>
      <w:rPr>
        <w:rFonts w:ascii="Arial" w:eastAsia="Calibri" w:hAnsi="Arial" w:cs="Arial"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77C359D"/>
    <w:multiLevelType w:val="hybridMultilevel"/>
    <w:tmpl w:val="7BB082F4"/>
    <w:lvl w:ilvl="0" w:tplc="79D43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4701708"/>
    <w:multiLevelType w:val="hybridMultilevel"/>
    <w:tmpl w:val="33300ACC"/>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nsid w:val="56DB48AD"/>
    <w:multiLevelType w:val="hybridMultilevel"/>
    <w:tmpl w:val="BE901B52"/>
    <w:lvl w:ilvl="0" w:tplc="F782EE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AC41E6"/>
    <w:multiLevelType w:val="hybridMultilevel"/>
    <w:tmpl w:val="CC62565A"/>
    <w:lvl w:ilvl="0" w:tplc="A8BCB1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9473E7"/>
    <w:multiLevelType w:val="hybridMultilevel"/>
    <w:tmpl w:val="CC72D196"/>
    <w:lvl w:ilvl="0" w:tplc="B29EDE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E35A2F"/>
    <w:multiLevelType w:val="hybridMultilevel"/>
    <w:tmpl w:val="EBDCF72A"/>
    <w:lvl w:ilvl="0" w:tplc="41D2A4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DF7C14"/>
    <w:multiLevelType w:val="hybridMultilevel"/>
    <w:tmpl w:val="DA826C58"/>
    <w:lvl w:ilvl="0" w:tplc="84A072A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6">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27"/>
  </w:num>
  <w:num w:numId="3">
    <w:abstractNumId w:val="4"/>
  </w:num>
  <w:num w:numId="4">
    <w:abstractNumId w:val="17"/>
  </w:num>
  <w:num w:numId="5">
    <w:abstractNumId w:val="20"/>
  </w:num>
  <w:num w:numId="6">
    <w:abstractNumId w:val="23"/>
  </w:num>
  <w:num w:numId="7">
    <w:abstractNumId w:val="44"/>
  </w:num>
  <w:num w:numId="8">
    <w:abstractNumId w:val="33"/>
  </w:num>
  <w:num w:numId="9">
    <w:abstractNumId w:val="38"/>
  </w:num>
  <w:num w:numId="10">
    <w:abstractNumId w:val="45"/>
  </w:num>
  <w:num w:numId="11">
    <w:abstractNumId w:val="0"/>
  </w:num>
  <w:num w:numId="12">
    <w:abstractNumId w:val="2"/>
  </w:num>
  <w:num w:numId="13">
    <w:abstractNumId w:val="19"/>
  </w:num>
  <w:num w:numId="14">
    <w:abstractNumId w:val="46"/>
  </w:num>
  <w:num w:numId="15">
    <w:abstractNumId w:val="8"/>
  </w:num>
  <w:num w:numId="16">
    <w:abstractNumId w:val="12"/>
  </w:num>
  <w:num w:numId="17">
    <w:abstractNumId w:val="9"/>
  </w:num>
  <w:num w:numId="18">
    <w:abstractNumId w:val="2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3"/>
  </w:num>
  <w:num w:numId="22">
    <w:abstractNumId w:val="32"/>
  </w:num>
  <w:num w:numId="23">
    <w:abstractNumId w:val="11"/>
  </w:num>
  <w:num w:numId="24">
    <w:abstractNumId w:val="25"/>
  </w:num>
  <w:num w:numId="25">
    <w:abstractNumId w:val="16"/>
  </w:num>
  <w:num w:numId="26">
    <w:abstractNumId w:val="41"/>
  </w:num>
  <w:num w:numId="27">
    <w:abstractNumId w:val="37"/>
  </w:num>
  <w:num w:numId="28">
    <w:abstractNumId w:val="22"/>
  </w:num>
  <w:num w:numId="29">
    <w:abstractNumId w:val="7"/>
  </w:num>
  <w:num w:numId="30">
    <w:abstractNumId w:val="35"/>
  </w:num>
  <w:num w:numId="31">
    <w:abstractNumId w:val="5"/>
  </w:num>
  <w:num w:numId="32">
    <w:abstractNumId w:val="30"/>
  </w:num>
  <w:num w:numId="33">
    <w:abstractNumId w:val="43"/>
  </w:num>
  <w:num w:numId="34">
    <w:abstractNumId w:val="21"/>
  </w:num>
  <w:num w:numId="35">
    <w:abstractNumId w:val="31"/>
  </w:num>
  <w:num w:numId="36">
    <w:abstractNumId w:val="34"/>
  </w:num>
  <w:num w:numId="37">
    <w:abstractNumId w:val="1"/>
  </w:num>
  <w:num w:numId="38">
    <w:abstractNumId w:val="13"/>
  </w:num>
  <w:num w:numId="39">
    <w:abstractNumId w:val="24"/>
  </w:num>
  <w:num w:numId="40">
    <w:abstractNumId w:val="6"/>
  </w:num>
  <w:num w:numId="41">
    <w:abstractNumId w:val="36"/>
  </w:num>
  <w:num w:numId="42">
    <w:abstractNumId w:val="42"/>
  </w:num>
  <w:num w:numId="43">
    <w:abstractNumId w:val="28"/>
  </w:num>
  <w:num w:numId="44">
    <w:abstractNumId w:val="40"/>
  </w:num>
  <w:num w:numId="45">
    <w:abstractNumId w:val="39"/>
  </w:num>
  <w:num w:numId="46">
    <w:abstractNumId w:val="14"/>
  </w:num>
  <w:num w:numId="47">
    <w:abstractNumId w:val="26"/>
  </w:num>
  <w:num w:numId="48">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2DE4"/>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3445"/>
    <w:rsid w:val="0004639E"/>
    <w:rsid w:val="00046F4D"/>
    <w:rsid w:val="00052293"/>
    <w:rsid w:val="000526A8"/>
    <w:rsid w:val="00056295"/>
    <w:rsid w:val="000579B9"/>
    <w:rsid w:val="00057A15"/>
    <w:rsid w:val="00062700"/>
    <w:rsid w:val="00063A3A"/>
    <w:rsid w:val="0006400A"/>
    <w:rsid w:val="00066BC3"/>
    <w:rsid w:val="00070D0B"/>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1095"/>
    <w:rsid w:val="000E2985"/>
    <w:rsid w:val="000E44C0"/>
    <w:rsid w:val="000E44D4"/>
    <w:rsid w:val="000E53E8"/>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1F5B"/>
    <w:rsid w:val="00112616"/>
    <w:rsid w:val="00114EE5"/>
    <w:rsid w:val="00117224"/>
    <w:rsid w:val="00117E3E"/>
    <w:rsid w:val="00121B7A"/>
    <w:rsid w:val="00121D92"/>
    <w:rsid w:val="00122BE9"/>
    <w:rsid w:val="001239D7"/>
    <w:rsid w:val="00125282"/>
    <w:rsid w:val="00125D92"/>
    <w:rsid w:val="00127F6D"/>
    <w:rsid w:val="00130495"/>
    <w:rsid w:val="00131C7F"/>
    <w:rsid w:val="001335DB"/>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88D"/>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1A59"/>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385A"/>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362"/>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D4B"/>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BCD"/>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943FB"/>
    <w:rsid w:val="005A1C6B"/>
    <w:rsid w:val="005A2FA0"/>
    <w:rsid w:val="005A3AE0"/>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3D70"/>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4C0"/>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29DD"/>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6D77"/>
    <w:rsid w:val="00A37101"/>
    <w:rsid w:val="00A37621"/>
    <w:rsid w:val="00A4128D"/>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014D"/>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211"/>
    <w:rsid w:val="00BA273F"/>
    <w:rsid w:val="00BA30E9"/>
    <w:rsid w:val="00BA74DB"/>
    <w:rsid w:val="00BB2060"/>
    <w:rsid w:val="00BB2D2A"/>
    <w:rsid w:val="00BB7E6B"/>
    <w:rsid w:val="00BC0761"/>
    <w:rsid w:val="00BC0884"/>
    <w:rsid w:val="00BC319D"/>
    <w:rsid w:val="00BC5945"/>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02BF"/>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0730"/>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74EEA"/>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42A"/>
    <w:rsid w:val="00CF766E"/>
    <w:rsid w:val="00D0000C"/>
    <w:rsid w:val="00D004B9"/>
    <w:rsid w:val="00D00799"/>
    <w:rsid w:val="00D00C74"/>
    <w:rsid w:val="00D03C85"/>
    <w:rsid w:val="00D05D01"/>
    <w:rsid w:val="00D0621E"/>
    <w:rsid w:val="00D066CD"/>
    <w:rsid w:val="00D104BB"/>
    <w:rsid w:val="00D114C4"/>
    <w:rsid w:val="00D13F22"/>
    <w:rsid w:val="00D13F8E"/>
    <w:rsid w:val="00D1580B"/>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47EDE"/>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220"/>
    <w:rsid w:val="00D90AC5"/>
    <w:rsid w:val="00D90D19"/>
    <w:rsid w:val="00D91BB8"/>
    <w:rsid w:val="00D9244C"/>
    <w:rsid w:val="00D941ED"/>
    <w:rsid w:val="00D94EC8"/>
    <w:rsid w:val="00D952FA"/>
    <w:rsid w:val="00D95878"/>
    <w:rsid w:val="00D96F2F"/>
    <w:rsid w:val="00DA2981"/>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051D9"/>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96DBA"/>
    <w:rsid w:val="00EA034C"/>
    <w:rsid w:val="00EA0A18"/>
    <w:rsid w:val="00EA2661"/>
    <w:rsid w:val="00EA2B3A"/>
    <w:rsid w:val="00EA39B7"/>
    <w:rsid w:val="00EA5E50"/>
    <w:rsid w:val="00EA6E2C"/>
    <w:rsid w:val="00EB1F29"/>
    <w:rsid w:val="00EB21B6"/>
    <w:rsid w:val="00EB4A38"/>
    <w:rsid w:val="00EB57A4"/>
    <w:rsid w:val="00EB5C43"/>
    <w:rsid w:val="00EB6030"/>
    <w:rsid w:val="00EB7A01"/>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5ED5"/>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25A"/>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CFC"/>
    <w:rsid w:val="00FA45B2"/>
    <w:rsid w:val="00FA63E7"/>
    <w:rsid w:val="00FA6828"/>
    <w:rsid w:val="00FB0272"/>
    <w:rsid w:val="00FB0426"/>
    <w:rsid w:val="00FC1A3C"/>
    <w:rsid w:val="00FC36DD"/>
    <w:rsid w:val="00FC5FE4"/>
    <w:rsid w:val="00FC6838"/>
    <w:rsid w:val="00FC7A05"/>
    <w:rsid w:val="00FD012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 w:val="00FF7A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D158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80B"/>
    <w:rPr>
      <w:rFonts w:cs="Calibri"/>
      <w:lang w:val="en-GB" w:eastAsia="en-US"/>
    </w:rPr>
  </w:style>
  <w:style w:type="character" w:styleId="FootnoteReference">
    <w:name w:val="footnote reference"/>
    <w:basedOn w:val="DefaultParagraphFont"/>
    <w:uiPriority w:val="99"/>
    <w:semiHidden/>
    <w:unhideWhenUsed/>
    <w:rsid w:val="00D1580B"/>
    <w:rPr>
      <w:vertAlign w:val="superscript"/>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C0D78-DF28-4C0F-8486-CB7B514C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2023-06-02T05:41:00Z</dcterms:created>
  <dcterms:modified xsi:type="dcterms:W3CDTF">2023-06-02T05:41:00Z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