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1259" w14:textId="77777777" w:rsidR="00F95511" w:rsidRPr="00C938B2" w:rsidRDefault="00F95511" w:rsidP="00F9551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938B2">
        <w:rPr>
          <w:rFonts w:ascii="Arial" w:hAnsi="Arial" w:cs="Arial"/>
          <w:b/>
        </w:rPr>
        <w:t>NATIONAL ASSEMBLY</w:t>
      </w:r>
    </w:p>
    <w:p w14:paraId="3BFDA5CB" w14:textId="77777777" w:rsidR="00F95511" w:rsidRPr="00C938B2" w:rsidRDefault="00F95511" w:rsidP="00F9551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C938B2">
        <w:rPr>
          <w:rFonts w:ascii="Arial" w:hAnsi="Arial" w:cs="Arial"/>
          <w:b/>
        </w:rPr>
        <w:t>QUESTION FOR WRITTEN REPLY</w:t>
      </w:r>
    </w:p>
    <w:p w14:paraId="0CCE1ED6" w14:textId="77777777" w:rsidR="00F95511" w:rsidRDefault="00F95511" w:rsidP="00F9551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C938B2">
        <w:rPr>
          <w:rFonts w:ascii="Arial" w:hAnsi="Arial" w:cs="Arial"/>
          <w:b/>
        </w:rPr>
        <w:t>QUESTION NUMBER: 1453 [NW1604E]</w:t>
      </w:r>
    </w:p>
    <w:p w14:paraId="5A81B329" w14:textId="77777777" w:rsidR="00D36094" w:rsidRPr="00C938B2" w:rsidRDefault="00D36094" w:rsidP="00F9551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PUBLICATION: 13 MAY 2016</w:t>
      </w:r>
    </w:p>
    <w:p w14:paraId="3CC3074F" w14:textId="77777777" w:rsidR="00F95511" w:rsidRPr="00C938B2" w:rsidRDefault="00F95511" w:rsidP="00F9551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20FC2C41" w14:textId="77777777" w:rsidR="00F95511" w:rsidRPr="00C938B2" w:rsidRDefault="00F95511" w:rsidP="00F95511">
      <w:pPr>
        <w:spacing w:before="75" w:line="276" w:lineRule="auto"/>
        <w:ind w:hanging="851"/>
        <w:jc w:val="both"/>
        <w:rPr>
          <w:rFonts w:ascii="Arial" w:hAnsi="Arial" w:cs="Arial"/>
          <w:lang w:val="en-ZA" w:eastAsia="en-ZA"/>
        </w:rPr>
      </w:pPr>
      <w:r w:rsidRPr="00C938B2">
        <w:rPr>
          <w:rFonts w:ascii="Arial" w:hAnsi="Arial" w:cs="Arial"/>
          <w:b/>
          <w:bCs/>
          <w:lang w:val="af-ZA"/>
        </w:rPr>
        <w:t xml:space="preserve">1453.     Mr D J </w:t>
      </w:r>
      <w:r w:rsidRPr="00C938B2">
        <w:rPr>
          <w:rFonts w:ascii="Arial" w:hAnsi="Arial" w:cs="Arial"/>
          <w:b/>
          <w:bCs/>
          <w:lang w:val="en-GB"/>
        </w:rPr>
        <w:t>Maynier</w:t>
      </w:r>
      <w:r w:rsidRPr="00C938B2">
        <w:rPr>
          <w:rFonts w:ascii="Arial" w:hAnsi="Arial" w:cs="Arial"/>
          <w:b/>
          <w:bCs/>
          <w:lang w:val="af-ZA"/>
        </w:rPr>
        <w:t xml:space="preserve"> (DA) to ask the Minister of Finance:</w:t>
      </w:r>
    </w:p>
    <w:p w14:paraId="053A8931" w14:textId="77777777" w:rsidR="00F95511" w:rsidRPr="00C938B2" w:rsidRDefault="00F95511" w:rsidP="00F95511">
      <w:pPr>
        <w:spacing w:before="75" w:line="276" w:lineRule="auto"/>
        <w:jc w:val="both"/>
        <w:rPr>
          <w:rFonts w:ascii="Arial" w:hAnsi="Arial" w:cs="Arial"/>
          <w:lang w:val="af-ZA"/>
        </w:rPr>
      </w:pPr>
      <w:r w:rsidRPr="00C938B2">
        <w:rPr>
          <w:rFonts w:ascii="Arial" w:hAnsi="Arial" w:cs="Arial"/>
          <w:color w:val="000000"/>
          <w:lang w:val="af-ZA"/>
        </w:rPr>
        <w:t xml:space="preserve">Whether the SA Reserve Bank (a) has taken steps and/or (b) will take steps to mitigate the effects </w:t>
      </w:r>
      <w:r w:rsidRPr="00C938B2">
        <w:rPr>
          <w:rFonts w:ascii="Arial" w:hAnsi="Arial" w:cs="Arial"/>
          <w:lang w:val="en-GB"/>
        </w:rPr>
        <w:t>of</w:t>
      </w:r>
      <w:r w:rsidRPr="00C938B2">
        <w:rPr>
          <w:rFonts w:ascii="Arial" w:hAnsi="Arial" w:cs="Arial"/>
          <w:color w:val="000000"/>
          <w:lang w:val="af-ZA"/>
        </w:rPr>
        <w:t xml:space="preserve"> a possible sovereign ratings downgrade on the stability of the financial system; if not, why not, in each specified case; if so, what are the relevant details, in each specified case</w:t>
      </w:r>
      <w:r w:rsidRPr="00C938B2">
        <w:rPr>
          <w:rFonts w:ascii="Arial" w:hAnsi="Arial" w:cs="Arial"/>
          <w:lang w:val="af-ZA"/>
        </w:rPr>
        <w:t>?                                                          </w:t>
      </w:r>
    </w:p>
    <w:p w14:paraId="31ADCC88" w14:textId="77777777" w:rsidR="00F95511" w:rsidRPr="00C938B2" w:rsidRDefault="00F95511" w:rsidP="00F95511">
      <w:pPr>
        <w:spacing w:before="75" w:line="276" w:lineRule="auto"/>
        <w:ind w:left="6480" w:firstLine="720"/>
        <w:jc w:val="both"/>
        <w:rPr>
          <w:rFonts w:ascii="Arial" w:hAnsi="Arial" w:cs="Arial"/>
          <w:lang w:val="en-ZA" w:eastAsia="en-ZA"/>
        </w:rPr>
      </w:pPr>
      <w:r w:rsidRPr="00C938B2">
        <w:rPr>
          <w:rFonts w:ascii="Arial" w:hAnsi="Arial" w:cs="Arial"/>
          <w:lang w:val="af-ZA"/>
        </w:rPr>
        <w:t xml:space="preserve"> NW1604E</w:t>
      </w:r>
    </w:p>
    <w:p w14:paraId="738C4BEE" w14:textId="77777777" w:rsidR="001433AE" w:rsidRPr="00C938B2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  <w:r w:rsidRPr="00C938B2">
        <w:rPr>
          <w:rFonts w:ascii="Arial" w:hAnsi="Arial" w:cs="Arial"/>
          <w:b/>
        </w:rPr>
        <w:t>REPLY:</w:t>
      </w:r>
    </w:p>
    <w:p w14:paraId="6849D116" w14:textId="77777777" w:rsidR="001E6902" w:rsidRPr="00C938B2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72E71AEC" w14:textId="77777777" w:rsidR="006B0067" w:rsidRDefault="00107303" w:rsidP="00AA43AF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 w:rsidRPr="00107303">
        <w:rPr>
          <w:rFonts w:ascii="Arial" w:hAnsi="Arial" w:cs="Arial"/>
        </w:rPr>
        <w:t>The SA</w:t>
      </w:r>
      <w:r w:rsidR="006B0067">
        <w:rPr>
          <w:rFonts w:ascii="Arial" w:hAnsi="Arial" w:cs="Arial"/>
        </w:rPr>
        <w:t xml:space="preserve"> Reserve Bank (SARB) has provided the following response</w:t>
      </w:r>
      <w:r w:rsidR="009349C6">
        <w:rPr>
          <w:rFonts w:ascii="Arial" w:hAnsi="Arial" w:cs="Arial"/>
        </w:rPr>
        <w:t>:</w:t>
      </w:r>
      <w:r w:rsidR="006B0067">
        <w:rPr>
          <w:rFonts w:ascii="Arial" w:hAnsi="Arial" w:cs="Arial"/>
        </w:rPr>
        <w:t xml:space="preserve"> The SA</w:t>
      </w:r>
      <w:r w:rsidRPr="00107303">
        <w:rPr>
          <w:rFonts w:ascii="Arial" w:hAnsi="Arial" w:cs="Arial"/>
        </w:rPr>
        <w:t xml:space="preserve">RB </w:t>
      </w:r>
      <w:r w:rsidR="006B0067">
        <w:rPr>
          <w:rFonts w:ascii="Arial" w:hAnsi="Arial" w:cs="Arial"/>
        </w:rPr>
        <w:t>fulfils</w:t>
      </w:r>
      <w:r w:rsidRPr="00107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its</w:t>
      </w:r>
      <w:r w:rsidRPr="00107303">
        <w:rPr>
          <w:rFonts w:ascii="Arial" w:hAnsi="Arial" w:cs="Arial"/>
        </w:rPr>
        <w:t xml:space="preserve"> responsibility for financial stability and </w:t>
      </w:r>
      <w:r w:rsidR="006B0067">
        <w:rPr>
          <w:rFonts w:ascii="Arial" w:hAnsi="Arial" w:cs="Arial"/>
        </w:rPr>
        <w:t>continually</w:t>
      </w:r>
      <w:r w:rsidRPr="00107303">
        <w:rPr>
          <w:rFonts w:ascii="Arial" w:hAnsi="Arial" w:cs="Arial"/>
        </w:rPr>
        <w:t xml:space="preserve"> monitor</w:t>
      </w:r>
      <w:r w:rsidR="006B0067">
        <w:rPr>
          <w:rFonts w:ascii="Arial" w:hAnsi="Arial" w:cs="Arial"/>
        </w:rPr>
        <w:t>s</w:t>
      </w:r>
      <w:r w:rsidRPr="00107303">
        <w:rPr>
          <w:rFonts w:ascii="Arial" w:hAnsi="Arial" w:cs="Arial"/>
        </w:rPr>
        <w:t xml:space="preserve"> developments </w:t>
      </w:r>
      <w:r w:rsidR="006B0067">
        <w:rPr>
          <w:rFonts w:ascii="Arial" w:hAnsi="Arial" w:cs="Arial"/>
        </w:rPr>
        <w:t>that may affect this mandate, and has</w:t>
      </w:r>
      <w:r w:rsidRPr="00107303">
        <w:rPr>
          <w:rFonts w:ascii="Arial" w:hAnsi="Arial" w:cs="Arial"/>
        </w:rPr>
        <w:t xml:space="preserve"> taken steps to mitigate the effects of a possible sovereign ratings downgrade on the stability of the financial system</w:t>
      </w:r>
      <w:r w:rsidR="006B0067">
        <w:rPr>
          <w:rFonts w:ascii="Arial" w:hAnsi="Arial" w:cs="Arial"/>
        </w:rPr>
        <w:t xml:space="preserve">. The SARB produces its Financial Stability Review (available on its website www.resbank.co.za) twice a year to report on how it is fulfilling this mandate. </w:t>
      </w:r>
    </w:p>
    <w:p w14:paraId="2700B916" w14:textId="77777777" w:rsidR="00E108E1" w:rsidRDefault="004D6824" w:rsidP="00AA43AF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dual mandates of the SARB (price and financial stability) </w:t>
      </w:r>
      <w:r w:rsidR="006B006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pursued through the tools available in a manner consistent with its defined objectives, irrespective of the source.  </w:t>
      </w:r>
      <w:r w:rsidR="003C622C" w:rsidRPr="00C938B2">
        <w:rPr>
          <w:rFonts w:ascii="Arial" w:hAnsi="Arial" w:cs="Arial"/>
        </w:rPr>
        <w:t xml:space="preserve">The </w:t>
      </w:r>
      <w:r w:rsidR="00E108E1">
        <w:rPr>
          <w:rFonts w:ascii="Arial" w:hAnsi="Arial" w:cs="Arial"/>
        </w:rPr>
        <w:t xml:space="preserve">framework for dealing with financial stability risks (including those posed by a </w:t>
      </w:r>
      <w:r w:rsidR="00E108E1" w:rsidRPr="00E108E1">
        <w:rPr>
          <w:rFonts w:ascii="Arial" w:hAnsi="Arial" w:cs="Arial"/>
        </w:rPr>
        <w:t>possible sovereign ratings downgrade</w:t>
      </w:r>
      <w:r w:rsidR="00E108E1">
        <w:rPr>
          <w:rFonts w:ascii="Arial" w:hAnsi="Arial" w:cs="Arial"/>
        </w:rPr>
        <w:t>), includes:</w:t>
      </w:r>
    </w:p>
    <w:p w14:paraId="61C94374" w14:textId="77777777" w:rsidR="009349C6" w:rsidRDefault="009349C6" w:rsidP="00AA43AF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</w:p>
    <w:p w14:paraId="012D9768" w14:textId="77777777" w:rsidR="00E108E1" w:rsidRPr="001F2D23" w:rsidRDefault="00E108E1" w:rsidP="00FC1EEE">
      <w:pPr>
        <w:pStyle w:val="ListParagraph"/>
        <w:numPr>
          <w:ilvl w:val="0"/>
          <w:numId w:val="7"/>
        </w:numPr>
        <w:tabs>
          <w:tab w:val="left" w:pos="0"/>
          <w:tab w:val="left" w:pos="90"/>
          <w:tab w:val="left" w:pos="450"/>
          <w:tab w:val="left" w:pos="864"/>
        </w:tabs>
        <w:ind w:hanging="990"/>
        <w:jc w:val="both"/>
        <w:rPr>
          <w:rFonts w:ascii="Arial" w:hAnsi="Arial" w:cs="Arial"/>
        </w:rPr>
      </w:pPr>
      <w:r w:rsidRPr="001F2D23">
        <w:rPr>
          <w:rFonts w:ascii="Arial" w:hAnsi="Arial" w:cs="Arial"/>
        </w:rPr>
        <w:t>Monitoring for financial stability risks</w:t>
      </w:r>
    </w:p>
    <w:p w14:paraId="4D16113A" w14:textId="77777777" w:rsidR="00E108E1" w:rsidRDefault="00E108E1" w:rsidP="009349C6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450"/>
          <w:tab w:val="left" w:pos="864"/>
        </w:tabs>
        <w:ind w:hanging="990"/>
        <w:jc w:val="both"/>
        <w:rPr>
          <w:rFonts w:ascii="Arial" w:hAnsi="Arial" w:cs="Arial"/>
        </w:rPr>
      </w:pPr>
      <w:r w:rsidRPr="001F2D23">
        <w:rPr>
          <w:rFonts w:ascii="Arial" w:hAnsi="Arial" w:cs="Arial"/>
        </w:rPr>
        <w:t>Contingency planning for various risk scenarios</w:t>
      </w:r>
    </w:p>
    <w:p w14:paraId="629FAA7F" w14:textId="77777777" w:rsidR="00E108E1" w:rsidRPr="009349C6" w:rsidRDefault="009349C6" w:rsidP="009349C6">
      <w:pPr>
        <w:tabs>
          <w:tab w:val="left" w:pos="432"/>
          <w:tab w:val="left" w:pos="864"/>
        </w:tabs>
        <w:ind w:left="90"/>
        <w:jc w:val="both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 xml:space="preserve"> </w:t>
      </w:r>
      <w:r w:rsidR="00E108E1" w:rsidRPr="009349C6">
        <w:rPr>
          <w:rFonts w:ascii="Arial" w:hAnsi="Arial" w:cs="Arial"/>
        </w:rPr>
        <w:t xml:space="preserve">Stress testing </w:t>
      </w:r>
    </w:p>
    <w:p w14:paraId="225CB9EF" w14:textId="77777777" w:rsidR="003C622C" w:rsidRPr="00C938B2" w:rsidRDefault="003C622C" w:rsidP="00AA43AF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</w:p>
    <w:p w14:paraId="5A55B999" w14:textId="77777777" w:rsidR="001E6902" w:rsidRPr="00C938B2" w:rsidRDefault="001E6902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14:paraId="25BE1021" w14:textId="77777777" w:rsidR="000C149B" w:rsidRPr="009349C6" w:rsidRDefault="009349C6" w:rsidP="009349C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i) </w:t>
      </w:r>
      <w:r w:rsidR="000C149B" w:rsidRPr="009349C6">
        <w:rPr>
          <w:rFonts w:ascii="Arial" w:hAnsi="Arial" w:cs="Arial"/>
          <w:b/>
        </w:rPr>
        <w:t>Monitoring framework for financial stability</w:t>
      </w:r>
    </w:p>
    <w:p w14:paraId="077D8AE6" w14:textId="77777777" w:rsidR="000C149B" w:rsidRPr="00C938B2" w:rsidRDefault="000C149B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14:paraId="764642EA" w14:textId="77777777" w:rsidR="000C149B" w:rsidRDefault="000C149B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C938B2">
        <w:rPr>
          <w:rFonts w:ascii="Arial" w:hAnsi="Arial" w:cs="Arial"/>
        </w:rPr>
        <w:t xml:space="preserve">The Financial Stability Department has in place a monitoring framework that focuses on the systemic vulnerabilities that may propagate adverse shocks to the South African economy and financial system. </w:t>
      </w:r>
      <w:r w:rsidR="00E108E1">
        <w:rPr>
          <w:rFonts w:ascii="Arial" w:hAnsi="Arial" w:cs="Arial"/>
        </w:rPr>
        <w:t>As noted in the SARB Financial Stability Review (May 2016)</w:t>
      </w:r>
      <w:r w:rsidR="009E2BAD">
        <w:rPr>
          <w:rFonts w:ascii="Arial" w:hAnsi="Arial" w:cs="Arial"/>
        </w:rPr>
        <w:t>, a</w:t>
      </w:r>
      <w:r w:rsidRPr="00C938B2">
        <w:rPr>
          <w:rFonts w:ascii="Arial" w:hAnsi="Arial" w:cs="Arial"/>
        </w:rPr>
        <w:t>n important component of this monitoring framework is the risk assessment matrix (RAM) that identifies key domestic and external risks to financial stability, and their likely impact. The risks associated with a sovereign credit rating downgrade to sub-investment grade have</w:t>
      </w:r>
      <w:r w:rsidR="009C6AC4" w:rsidRPr="00C938B2">
        <w:rPr>
          <w:rFonts w:ascii="Arial" w:hAnsi="Arial" w:cs="Arial"/>
        </w:rPr>
        <w:t xml:space="preserve"> been </w:t>
      </w:r>
      <w:r w:rsidR="007904C9" w:rsidRPr="00C938B2">
        <w:rPr>
          <w:rFonts w:ascii="Arial" w:hAnsi="Arial" w:cs="Arial"/>
        </w:rPr>
        <w:t>included in</w:t>
      </w:r>
      <w:r w:rsidRPr="00C938B2">
        <w:rPr>
          <w:rFonts w:ascii="Arial" w:hAnsi="Arial" w:cs="Arial"/>
        </w:rPr>
        <w:t xml:space="preserve"> the versions of the RAM presented to the Financial Stability Committee since at least 2014</w:t>
      </w:r>
      <w:r w:rsidR="009C6AC4" w:rsidRPr="00C938B2">
        <w:rPr>
          <w:rFonts w:ascii="Arial" w:hAnsi="Arial" w:cs="Arial"/>
        </w:rPr>
        <w:t>.</w:t>
      </w:r>
    </w:p>
    <w:p w14:paraId="0081EF0B" w14:textId="77777777" w:rsidR="009349C6" w:rsidRDefault="009349C6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14:paraId="13BC18FE" w14:textId="77777777" w:rsidR="009349C6" w:rsidRDefault="009349C6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14:paraId="32179142" w14:textId="77777777" w:rsidR="009349C6" w:rsidRDefault="009349C6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14:paraId="4D2C4CCE" w14:textId="77777777" w:rsidR="001F2D23" w:rsidRPr="00C938B2" w:rsidRDefault="001F2D23" w:rsidP="000C149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14:paraId="378B6965" w14:textId="77777777" w:rsidR="001E6902" w:rsidRPr="001F2D23" w:rsidRDefault="009349C6" w:rsidP="001F2D2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ii) </w:t>
      </w:r>
      <w:r w:rsidR="00AA43AF" w:rsidRPr="001F2D23">
        <w:rPr>
          <w:rFonts w:ascii="Arial" w:hAnsi="Arial" w:cs="Arial"/>
          <w:b/>
        </w:rPr>
        <w:t>Contingency planning for various risk scenarios</w:t>
      </w:r>
    </w:p>
    <w:p w14:paraId="7A570EB8" w14:textId="77777777" w:rsidR="001E6902" w:rsidRPr="00C938B2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78DCB089" w14:textId="77777777" w:rsidR="00AA43AF" w:rsidRPr="00C938B2" w:rsidRDefault="00AA43AF" w:rsidP="00AA43AF">
      <w:pPr>
        <w:jc w:val="both"/>
        <w:rPr>
          <w:rFonts w:ascii="Arial" w:hAnsi="Arial" w:cs="Arial"/>
        </w:rPr>
      </w:pPr>
      <w:r w:rsidRPr="00C938B2">
        <w:rPr>
          <w:rFonts w:ascii="Arial" w:hAnsi="Arial" w:cs="Arial"/>
        </w:rPr>
        <w:t xml:space="preserve">The </w:t>
      </w:r>
      <w:r w:rsidR="009E2BAD">
        <w:rPr>
          <w:rFonts w:ascii="Arial" w:hAnsi="Arial" w:cs="Arial"/>
        </w:rPr>
        <w:t xml:space="preserve">SARB </w:t>
      </w:r>
      <w:r w:rsidRPr="00C938B2">
        <w:rPr>
          <w:rFonts w:ascii="Arial" w:hAnsi="Arial" w:cs="Arial"/>
        </w:rPr>
        <w:t xml:space="preserve">is involved in continuous efforts to </w:t>
      </w:r>
      <w:r w:rsidR="009E2BAD">
        <w:rPr>
          <w:rFonts w:ascii="Arial" w:hAnsi="Arial" w:cs="Arial"/>
        </w:rPr>
        <w:t>identify, quantify</w:t>
      </w:r>
      <w:r w:rsidR="009E2BAD" w:rsidRPr="00C938B2">
        <w:rPr>
          <w:rFonts w:ascii="Arial" w:hAnsi="Arial" w:cs="Arial"/>
        </w:rPr>
        <w:t xml:space="preserve"> </w:t>
      </w:r>
      <w:r w:rsidR="009E2BAD">
        <w:rPr>
          <w:rFonts w:ascii="Arial" w:hAnsi="Arial" w:cs="Arial"/>
        </w:rPr>
        <w:t xml:space="preserve">and </w:t>
      </w:r>
      <w:r w:rsidR="009E2BAD" w:rsidRPr="00C938B2">
        <w:rPr>
          <w:rFonts w:ascii="Arial" w:hAnsi="Arial" w:cs="Arial"/>
        </w:rPr>
        <w:t>mitigate</w:t>
      </w:r>
      <w:r w:rsidRPr="00C938B2">
        <w:rPr>
          <w:rFonts w:ascii="Arial" w:hAnsi="Arial" w:cs="Arial"/>
        </w:rPr>
        <w:t xml:space="preserve"> </w:t>
      </w:r>
      <w:r w:rsidR="009E2BAD">
        <w:rPr>
          <w:rFonts w:ascii="Arial" w:hAnsi="Arial" w:cs="Arial"/>
        </w:rPr>
        <w:t xml:space="preserve">possible adverse events that could pose a financial stability risk including </w:t>
      </w:r>
      <w:r w:rsidRPr="00C938B2">
        <w:rPr>
          <w:rFonts w:ascii="Arial" w:hAnsi="Arial" w:cs="Arial"/>
        </w:rPr>
        <w:t xml:space="preserve"> a ratings downgrade</w:t>
      </w:r>
      <w:r w:rsidR="009E2BAD">
        <w:rPr>
          <w:rFonts w:ascii="Arial" w:hAnsi="Arial" w:cs="Arial"/>
        </w:rPr>
        <w:t xml:space="preserve">. This contingency planning involves engaging with key public and private sector stakeholders. </w:t>
      </w:r>
    </w:p>
    <w:p w14:paraId="456D762C" w14:textId="77777777" w:rsidR="001E6902" w:rsidRPr="00C938B2" w:rsidRDefault="001E6902" w:rsidP="00AA43AF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</w:p>
    <w:p w14:paraId="135B6050" w14:textId="77777777" w:rsidR="00AA43AF" w:rsidRPr="00C938B2" w:rsidRDefault="00AA43AF" w:rsidP="00AA43AF">
      <w:pPr>
        <w:jc w:val="both"/>
        <w:rPr>
          <w:rFonts w:ascii="Arial" w:hAnsi="Arial" w:cs="Arial"/>
        </w:rPr>
      </w:pPr>
      <w:r w:rsidRPr="00C938B2">
        <w:rPr>
          <w:rFonts w:ascii="Arial" w:hAnsi="Arial" w:cs="Arial"/>
        </w:rPr>
        <w:t xml:space="preserve">The systemic risks associated with various scenarios are </w:t>
      </w:r>
      <w:r w:rsidR="009E2BAD">
        <w:rPr>
          <w:rFonts w:ascii="Arial" w:hAnsi="Arial" w:cs="Arial"/>
        </w:rPr>
        <w:t xml:space="preserve">then </w:t>
      </w:r>
      <w:r w:rsidRPr="00C938B2">
        <w:rPr>
          <w:rFonts w:ascii="Arial" w:hAnsi="Arial" w:cs="Arial"/>
        </w:rPr>
        <w:t xml:space="preserve">discussed </w:t>
      </w:r>
      <w:r w:rsidR="009E2BAD">
        <w:rPr>
          <w:rFonts w:ascii="Arial" w:hAnsi="Arial" w:cs="Arial"/>
        </w:rPr>
        <w:t xml:space="preserve">with all key stakeholders </w:t>
      </w:r>
      <w:r w:rsidRPr="00C938B2">
        <w:rPr>
          <w:rFonts w:ascii="Arial" w:hAnsi="Arial" w:cs="Arial"/>
        </w:rPr>
        <w:t xml:space="preserve">and contingency arrangements are put in place. </w:t>
      </w:r>
    </w:p>
    <w:p w14:paraId="338A86E0" w14:textId="77777777" w:rsidR="00AA43AF" w:rsidRPr="00C938B2" w:rsidRDefault="00AA43AF" w:rsidP="00AA43A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14:paraId="6465007C" w14:textId="77777777" w:rsidR="00AA43AF" w:rsidRPr="009349C6" w:rsidRDefault="009E2BAD" w:rsidP="009349C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 w:rsidRPr="009349C6">
        <w:rPr>
          <w:rFonts w:ascii="Arial" w:hAnsi="Arial" w:cs="Arial"/>
          <w:b/>
        </w:rPr>
        <w:t xml:space="preserve">iii) </w:t>
      </w:r>
      <w:r w:rsidR="002A067B" w:rsidRPr="009349C6">
        <w:rPr>
          <w:rFonts w:ascii="Arial" w:hAnsi="Arial" w:cs="Arial"/>
          <w:b/>
        </w:rPr>
        <w:t>Stress testing exercise conducted</w:t>
      </w:r>
    </w:p>
    <w:p w14:paraId="11D08F55" w14:textId="77777777" w:rsidR="009E2BAD" w:rsidRDefault="00AA43AF" w:rsidP="001F2D23">
      <w:pPr>
        <w:spacing w:before="120" w:after="200"/>
        <w:jc w:val="both"/>
        <w:rPr>
          <w:rFonts w:ascii="Arial" w:hAnsi="Arial" w:cs="Arial"/>
          <w:b/>
        </w:rPr>
      </w:pPr>
      <w:r w:rsidRPr="00C938B2">
        <w:rPr>
          <w:rFonts w:ascii="Arial" w:eastAsia="Cambria" w:hAnsi="Arial"/>
          <w:lang w:val="en-GB"/>
        </w:rPr>
        <w:t>The</w:t>
      </w:r>
      <w:r w:rsidR="00022888">
        <w:rPr>
          <w:rFonts w:ascii="Arial" w:eastAsia="Cambria" w:hAnsi="Arial"/>
          <w:lang w:val="en-GB"/>
        </w:rPr>
        <w:t xml:space="preserve"> </w:t>
      </w:r>
      <w:r w:rsidRPr="00C938B2">
        <w:rPr>
          <w:rFonts w:ascii="Arial" w:eastAsia="Cambria" w:hAnsi="Arial"/>
          <w:lang w:val="en-GB"/>
        </w:rPr>
        <w:t xml:space="preserve">SARB conducted a common scenario stress test exercise to evaluate the soundness of the South African domestic banking sector (2016 stress testing exercise). </w:t>
      </w:r>
      <w:r w:rsidR="009E2BAD">
        <w:rPr>
          <w:rFonts w:ascii="Arial" w:eastAsia="Cambria" w:hAnsi="Arial"/>
          <w:lang w:val="en-GB"/>
        </w:rPr>
        <w:t>Details of the s</w:t>
      </w:r>
      <w:r w:rsidR="001F2D23">
        <w:rPr>
          <w:rFonts w:ascii="Arial" w:eastAsia="Cambria" w:hAnsi="Arial"/>
          <w:lang w:val="en-GB"/>
        </w:rPr>
        <w:t>c</w:t>
      </w:r>
      <w:r w:rsidR="009E2BAD">
        <w:rPr>
          <w:rFonts w:ascii="Arial" w:eastAsia="Cambria" w:hAnsi="Arial"/>
          <w:lang w:val="en-GB"/>
        </w:rPr>
        <w:t>enarios and methodology are contained in the Financial Stability Review (</w:t>
      </w:r>
      <w:r w:rsidR="006B0067">
        <w:rPr>
          <w:rFonts w:ascii="Arial" w:eastAsia="Cambria" w:hAnsi="Arial"/>
          <w:lang w:val="en-GB"/>
        </w:rPr>
        <w:t xml:space="preserve">May </w:t>
      </w:r>
      <w:r w:rsidR="009E2BAD">
        <w:rPr>
          <w:rFonts w:ascii="Arial" w:eastAsia="Cambria" w:hAnsi="Arial"/>
          <w:lang w:val="en-GB"/>
        </w:rPr>
        <w:t>2016).</w:t>
      </w:r>
      <w:r w:rsidR="00BA632E" w:rsidRPr="00C938B2">
        <w:rPr>
          <w:rFonts w:ascii="Arial" w:eastAsia="Cambria" w:hAnsi="Arial"/>
        </w:rPr>
        <w:t xml:space="preserve">The scenarios made provision for vulnerabilities similar to what could be experienced following a downgrade. </w:t>
      </w:r>
    </w:p>
    <w:p w14:paraId="09177424" w14:textId="77777777" w:rsidR="009E2BAD" w:rsidRPr="001F2D23" w:rsidRDefault="009E2BAD" w:rsidP="001F2D23">
      <w:pPr>
        <w:spacing w:before="120" w:after="200"/>
        <w:jc w:val="both"/>
        <w:rPr>
          <w:rFonts w:ascii="Arial" w:hAnsi="Arial" w:cs="Arial"/>
        </w:rPr>
      </w:pPr>
      <w:r w:rsidRPr="001F2D23">
        <w:rPr>
          <w:rFonts w:ascii="Arial" w:hAnsi="Arial" w:cs="Arial"/>
        </w:rPr>
        <w:t xml:space="preserve">In addition to these measures aimed at ensuring financial stability, </w:t>
      </w:r>
      <w:r w:rsidR="00A92FCF" w:rsidRPr="001F2D23">
        <w:rPr>
          <w:rFonts w:ascii="Arial" w:hAnsi="Arial" w:cs="Arial"/>
        </w:rPr>
        <w:t xml:space="preserve">action have been taken (by the Bank Supervision Department) to mitigate risks that may arise to individual financial institutions. </w:t>
      </w:r>
    </w:p>
    <w:p w14:paraId="63CF4EC2" w14:textId="77777777" w:rsidR="00F35590" w:rsidRPr="00C938B2" w:rsidRDefault="00F35590" w:rsidP="00F35590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14:paraId="230D65D5" w14:textId="77777777" w:rsidR="009314EE" w:rsidRPr="00C938B2" w:rsidRDefault="009314EE" w:rsidP="00F35590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14:paraId="540871CC" w14:textId="77777777" w:rsidR="008C2559" w:rsidRPr="00C938B2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63027BA5" w14:textId="77777777" w:rsidR="008C2559" w:rsidRPr="00C938B2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714E4F4A" w14:textId="77777777" w:rsidR="001B0917" w:rsidRPr="00C938B2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14:paraId="6444CEBB" w14:textId="77777777" w:rsidR="00B77F67" w:rsidRPr="00C938B2" w:rsidRDefault="00B77F67" w:rsidP="001B0917">
      <w:pPr>
        <w:spacing w:line="276" w:lineRule="auto"/>
        <w:jc w:val="both"/>
        <w:rPr>
          <w:rFonts w:ascii="Arial" w:hAnsi="Arial" w:cs="Arial"/>
          <w:b/>
        </w:rPr>
      </w:pPr>
    </w:p>
    <w:sectPr w:rsidR="00B77F67" w:rsidRPr="00C938B2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3EF1" w14:textId="77777777" w:rsidR="00B94D70" w:rsidRDefault="00B94D70" w:rsidP="00392607">
      <w:r>
        <w:separator/>
      </w:r>
    </w:p>
  </w:endnote>
  <w:endnote w:type="continuationSeparator" w:id="0">
    <w:p w14:paraId="07D22C9A" w14:textId="77777777" w:rsidR="00B94D70" w:rsidRDefault="00B94D70" w:rsidP="003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B7B9" w14:textId="77777777" w:rsidR="00B94D70" w:rsidRDefault="00B94D70" w:rsidP="00392607">
      <w:r>
        <w:separator/>
      </w:r>
    </w:p>
  </w:footnote>
  <w:footnote w:type="continuationSeparator" w:id="0">
    <w:p w14:paraId="5C4A347E" w14:textId="77777777" w:rsidR="00B94D70" w:rsidRDefault="00B94D70" w:rsidP="0039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615"/>
    <w:multiLevelType w:val="hybridMultilevel"/>
    <w:tmpl w:val="FA9E0288"/>
    <w:lvl w:ilvl="0" w:tplc="875664A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65"/>
    <w:multiLevelType w:val="hybridMultilevel"/>
    <w:tmpl w:val="DA50AD38"/>
    <w:lvl w:ilvl="0" w:tplc="E4CE4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26"/>
    <w:multiLevelType w:val="hybridMultilevel"/>
    <w:tmpl w:val="5F4ED06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FE5"/>
    <w:multiLevelType w:val="hybridMultilevel"/>
    <w:tmpl w:val="4FF4D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65F"/>
    <w:multiLevelType w:val="hybridMultilevel"/>
    <w:tmpl w:val="76421EFC"/>
    <w:lvl w:ilvl="0" w:tplc="47D2D240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4B91"/>
    <w:multiLevelType w:val="hybridMultilevel"/>
    <w:tmpl w:val="05F4AEC8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1"/>
    <w:rsid w:val="00020C04"/>
    <w:rsid w:val="00022449"/>
    <w:rsid w:val="00022888"/>
    <w:rsid w:val="000C149B"/>
    <w:rsid w:val="000C48D8"/>
    <w:rsid w:val="000F3B14"/>
    <w:rsid w:val="00107303"/>
    <w:rsid w:val="001433AE"/>
    <w:rsid w:val="0015727B"/>
    <w:rsid w:val="001713D2"/>
    <w:rsid w:val="001B0917"/>
    <w:rsid w:val="001E3FB5"/>
    <w:rsid w:val="001E6902"/>
    <w:rsid w:val="001F2D23"/>
    <w:rsid w:val="00242E1B"/>
    <w:rsid w:val="002A067B"/>
    <w:rsid w:val="002B0331"/>
    <w:rsid w:val="002F6E86"/>
    <w:rsid w:val="003139DB"/>
    <w:rsid w:val="003170D1"/>
    <w:rsid w:val="003421BD"/>
    <w:rsid w:val="00387858"/>
    <w:rsid w:val="00392607"/>
    <w:rsid w:val="003C622C"/>
    <w:rsid w:val="00413BF6"/>
    <w:rsid w:val="00422F6F"/>
    <w:rsid w:val="004D6824"/>
    <w:rsid w:val="005141B3"/>
    <w:rsid w:val="00574E19"/>
    <w:rsid w:val="00602FB7"/>
    <w:rsid w:val="00613FC6"/>
    <w:rsid w:val="006239F1"/>
    <w:rsid w:val="00624D20"/>
    <w:rsid w:val="0062770E"/>
    <w:rsid w:val="0064275F"/>
    <w:rsid w:val="00647EF2"/>
    <w:rsid w:val="00653A85"/>
    <w:rsid w:val="00674E59"/>
    <w:rsid w:val="006B0067"/>
    <w:rsid w:val="006D35CD"/>
    <w:rsid w:val="006F0CD6"/>
    <w:rsid w:val="007118EA"/>
    <w:rsid w:val="00726A9C"/>
    <w:rsid w:val="007359BF"/>
    <w:rsid w:val="007904C9"/>
    <w:rsid w:val="007914E0"/>
    <w:rsid w:val="007A32AF"/>
    <w:rsid w:val="007B1BA1"/>
    <w:rsid w:val="00835A0C"/>
    <w:rsid w:val="0088075D"/>
    <w:rsid w:val="00891265"/>
    <w:rsid w:val="008B2A41"/>
    <w:rsid w:val="008C2559"/>
    <w:rsid w:val="00911717"/>
    <w:rsid w:val="009163A5"/>
    <w:rsid w:val="00927068"/>
    <w:rsid w:val="009314EE"/>
    <w:rsid w:val="009349C6"/>
    <w:rsid w:val="00951B6A"/>
    <w:rsid w:val="00953363"/>
    <w:rsid w:val="0096007E"/>
    <w:rsid w:val="0096178B"/>
    <w:rsid w:val="00992715"/>
    <w:rsid w:val="009A18A7"/>
    <w:rsid w:val="009C6AC4"/>
    <w:rsid w:val="009E2BAD"/>
    <w:rsid w:val="00A27751"/>
    <w:rsid w:val="00A4534E"/>
    <w:rsid w:val="00A47243"/>
    <w:rsid w:val="00A525F0"/>
    <w:rsid w:val="00A72B9B"/>
    <w:rsid w:val="00A92FCF"/>
    <w:rsid w:val="00AA43AF"/>
    <w:rsid w:val="00AD00CE"/>
    <w:rsid w:val="00AD5C9B"/>
    <w:rsid w:val="00B167F2"/>
    <w:rsid w:val="00B447E6"/>
    <w:rsid w:val="00B77F67"/>
    <w:rsid w:val="00B94D70"/>
    <w:rsid w:val="00BA632E"/>
    <w:rsid w:val="00BD31C6"/>
    <w:rsid w:val="00C25C7E"/>
    <w:rsid w:val="00C312EA"/>
    <w:rsid w:val="00C44C35"/>
    <w:rsid w:val="00C60822"/>
    <w:rsid w:val="00C938B2"/>
    <w:rsid w:val="00CC2F3E"/>
    <w:rsid w:val="00CF29B3"/>
    <w:rsid w:val="00D36094"/>
    <w:rsid w:val="00D86FB1"/>
    <w:rsid w:val="00DB2463"/>
    <w:rsid w:val="00DD4B3C"/>
    <w:rsid w:val="00DD5296"/>
    <w:rsid w:val="00DF0D26"/>
    <w:rsid w:val="00E108E1"/>
    <w:rsid w:val="00E77DF6"/>
    <w:rsid w:val="00E8352B"/>
    <w:rsid w:val="00EA2C46"/>
    <w:rsid w:val="00EA6A49"/>
    <w:rsid w:val="00F15086"/>
    <w:rsid w:val="00F35590"/>
    <w:rsid w:val="00F51C17"/>
    <w:rsid w:val="00F5571A"/>
    <w:rsid w:val="00F87EA6"/>
    <w:rsid w:val="00F95511"/>
    <w:rsid w:val="00FC1EEE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3F2569"/>
  <w15:docId w15:val="{83A7224C-B1D9-447F-B4D5-F69E985C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C62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260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607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39260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C6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6AC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C6A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6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6A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AC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5D5C-1D9C-45C6-81E0-5363B36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2016-08-02T14:11:00Z</cp:lastPrinted>
  <dcterms:created xsi:type="dcterms:W3CDTF">2016-08-18T06:31:00Z</dcterms:created>
  <dcterms:modified xsi:type="dcterms:W3CDTF">2016-08-18T06:31:00Z</dcterms:modified>
</cp:coreProperties>
</file>