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85" w:rsidRPr="00D2427D" w:rsidRDefault="00740985" w:rsidP="00D2427D">
      <w:pPr>
        <w:spacing w:before="100" w:beforeAutospacing="1" w:after="100" w:afterAutospacing="1"/>
        <w:ind w:left="720" w:hanging="720"/>
        <w:jc w:val="center"/>
        <w:outlineLvl w:val="0"/>
        <w:rPr>
          <w:rFonts w:ascii="Calibri" w:hAnsi="Calibri"/>
          <w:b/>
          <w:lang w:val="en-ZA"/>
        </w:rPr>
      </w:pPr>
      <w:r w:rsidRPr="00216D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south-africa-tours-and-travel.com/images/south-africa-national-coat-of-arms-nationalsymbolsofsouthafrica.jpg" style="width:75pt;height:75.75pt;visibility:visible">
            <v:imagedata r:id="rId7" o:title=""/>
          </v:shape>
        </w:pict>
      </w:r>
    </w:p>
    <w:p w:rsidR="00740985" w:rsidRPr="00C96B32" w:rsidRDefault="00740985" w:rsidP="00CB3451">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740985" w:rsidRDefault="00740985" w:rsidP="00CB3451">
      <w:pPr>
        <w:pBdr>
          <w:bottom w:val="single" w:sz="6" w:space="1" w:color="auto"/>
        </w:pBdr>
        <w:jc w:val="center"/>
        <w:rPr>
          <w:rFonts w:ascii="Arial" w:hAnsi="Arial" w:cs="Arial"/>
          <w:b/>
        </w:rPr>
      </w:pPr>
      <w:r w:rsidRPr="00C96B32">
        <w:rPr>
          <w:rFonts w:ascii="Arial" w:hAnsi="Arial" w:cs="Arial"/>
          <w:b/>
        </w:rPr>
        <w:t>REPUBLIC OF SOUTH AFRICA</w:t>
      </w:r>
    </w:p>
    <w:p w:rsidR="00740985" w:rsidRPr="00C96B32" w:rsidRDefault="00740985" w:rsidP="00CB3451">
      <w:pPr>
        <w:pBdr>
          <w:bottom w:val="single" w:sz="6" w:space="1" w:color="auto"/>
        </w:pBdr>
        <w:jc w:val="center"/>
        <w:rPr>
          <w:rFonts w:ascii="Arial" w:hAnsi="Arial" w:cs="Arial"/>
          <w:b/>
        </w:rPr>
      </w:pPr>
    </w:p>
    <w:p w:rsidR="00740985" w:rsidRDefault="00740985" w:rsidP="00C33C12">
      <w:pPr>
        <w:spacing w:line="360" w:lineRule="auto"/>
        <w:jc w:val="center"/>
        <w:rPr>
          <w:rFonts w:ascii="Arial" w:hAnsi="Arial" w:cs="Arial"/>
          <w:sz w:val="16"/>
          <w:szCs w:val="16"/>
        </w:rPr>
      </w:pPr>
    </w:p>
    <w:p w:rsidR="00740985" w:rsidRPr="000D2C53" w:rsidRDefault="0074098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740985" w:rsidRPr="008E38AA" w:rsidRDefault="0074098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rsidR="00740985" w:rsidRPr="008E38AA" w:rsidRDefault="00740985" w:rsidP="00C33C12">
      <w:pPr>
        <w:spacing w:line="360" w:lineRule="auto"/>
        <w:jc w:val="center"/>
        <w:rPr>
          <w:rFonts w:ascii="Arial" w:hAnsi="Arial" w:cs="Arial"/>
          <w:b/>
          <w:bCs/>
          <w:lang w:val="en-GB"/>
        </w:rPr>
      </w:pPr>
      <w:r w:rsidRPr="008E38AA">
        <w:rPr>
          <w:rFonts w:ascii="Arial" w:hAnsi="Arial" w:cs="Arial"/>
          <w:b/>
          <w:bCs/>
          <w:lang w:val="en-GB"/>
        </w:rPr>
        <w:t>QUESTION NUMBER 201</w:t>
      </w:r>
      <w:r>
        <w:rPr>
          <w:rFonts w:ascii="Arial" w:hAnsi="Arial" w:cs="Arial"/>
          <w:b/>
          <w:bCs/>
          <w:lang w:val="en-GB"/>
        </w:rPr>
        <w:t>6/145</w:t>
      </w:r>
    </w:p>
    <w:p w:rsidR="00740985" w:rsidRPr="004B3FFB" w:rsidRDefault="0074098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Pr>
          <w:rFonts w:ascii="Arial" w:hAnsi="Arial" w:cs="Arial"/>
          <w:b/>
          <w:bCs/>
          <w:lang w:val="en-GB"/>
        </w:rPr>
        <w:t>19 FEBRUARY</w:t>
      </w:r>
      <w:r w:rsidRPr="008E38AA">
        <w:rPr>
          <w:rFonts w:ascii="Arial" w:hAnsi="Arial" w:cs="Arial"/>
          <w:b/>
          <w:bCs/>
          <w:lang w:val="en-GB"/>
        </w:rPr>
        <w:t xml:space="preserve"> 201</w:t>
      </w:r>
      <w:r>
        <w:rPr>
          <w:rFonts w:ascii="Arial" w:hAnsi="Arial" w:cs="Arial"/>
          <w:b/>
          <w:bCs/>
          <w:lang w:val="en-GB"/>
        </w:rPr>
        <w:t>6</w:t>
      </w:r>
    </w:p>
    <w:p w:rsidR="00740985" w:rsidRDefault="00740985" w:rsidP="00781D95">
      <w:pPr>
        <w:spacing w:line="360" w:lineRule="auto"/>
        <w:jc w:val="both"/>
        <w:rPr>
          <w:rFonts w:ascii="Arial" w:hAnsi="Arial" w:cs="Arial"/>
          <w:b/>
          <w:bCs/>
          <w:sz w:val="22"/>
          <w:szCs w:val="22"/>
          <w:lang w:val="en-ZA"/>
        </w:rPr>
      </w:pPr>
    </w:p>
    <w:p w:rsidR="00740985" w:rsidRPr="00A961BB" w:rsidRDefault="00740985" w:rsidP="000F0B80">
      <w:pPr>
        <w:spacing w:before="100" w:beforeAutospacing="1" w:after="100" w:afterAutospacing="1" w:line="360" w:lineRule="auto"/>
        <w:ind w:left="90" w:hanging="101"/>
        <w:jc w:val="both"/>
        <w:outlineLvl w:val="0"/>
        <w:rPr>
          <w:rFonts w:ascii="Arial" w:hAnsi="Arial" w:cs="Arial"/>
          <w:b/>
          <w:bCs/>
        </w:rPr>
      </w:pPr>
      <w:r w:rsidRPr="00A961BB">
        <w:rPr>
          <w:rFonts w:ascii="Arial" w:hAnsi="Arial" w:cs="Arial"/>
          <w:b/>
          <w:bCs/>
        </w:rPr>
        <w:t>Mr K J Mileham (DA) to ask the Minister of Cooperative Governance and Traditional Affairs:</w:t>
      </w:r>
    </w:p>
    <w:p w:rsidR="00740985" w:rsidRPr="00A961BB" w:rsidRDefault="00740985" w:rsidP="00A961BB">
      <w:pPr>
        <w:spacing w:before="100" w:beforeAutospacing="1" w:after="100" w:afterAutospacing="1" w:line="360" w:lineRule="auto"/>
        <w:ind w:left="720" w:hanging="734"/>
        <w:jc w:val="both"/>
        <w:rPr>
          <w:rFonts w:ascii="Arial" w:hAnsi="Arial" w:cs="Arial"/>
          <w:lang w:val="en-ZA"/>
        </w:rPr>
      </w:pPr>
      <w:r w:rsidRPr="00A961BB">
        <w:rPr>
          <w:rFonts w:ascii="Arial" w:hAnsi="Arial" w:cs="Arial"/>
        </w:rPr>
        <w:t>(1)</w:t>
      </w:r>
      <w:r w:rsidRPr="00A961BB">
        <w:rPr>
          <w:rFonts w:ascii="Arial" w:hAnsi="Arial" w:cs="Arial"/>
        </w:rPr>
        <w:tab/>
        <w:t xml:space="preserve">Whether any municipalities have been furnished with notifications by (a) Eskom and/or (b) any water board to notify them that the supply of electricity or water as the case may could be cut off due to non-payment; if so, (i) which municipalities are affected, (ii) what amount is owed to the relevant utilities by each specified municipality as at 31 December 2015 and (iii) what detailed steps are </w:t>
      </w:r>
      <w:r>
        <w:rPr>
          <w:rFonts w:ascii="Arial" w:hAnsi="Arial" w:cs="Arial"/>
        </w:rPr>
        <w:t>being taken to avert the crisis?</w:t>
      </w:r>
    </w:p>
    <w:p w:rsidR="00740985" w:rsidRPr="00A961BB" w:rsidRDefault="00740985" w:rsidP="00A961BB">
      <w:pPr>
        <w:spacing w:before="100" w:beforeAutospacing="1" w:after="100" w:afterAutospacing="1" w:line="360" w:lineRule="auto"/>
        <w:ind w:left="720" w:hanging="734"/>
        <w:jc w:val="both"/>
        <w:rPr>
          <w:rFonts w:ascii="Arial" w:hAnsi="Arial" w:cs="Arial"/>
        </w:rPr>
      </w:pPr>
      <w:r w:rsidRPr="00A961BB">
        <w:rPr>
          <w:rFonts w:ascii="Arial" w:hAnsi="Arial" w:cs="Arial"/>
        </w:rPr>
        <w:t>(2)</w:t>
      </w:r>
      <w:r w:rsidRPr="00A961BB">
        <w:rPr>
          <w:rFonts w:ascii="Arial" w:hAnsi="Arial" w:cs="Arial"/>
        </w:rPr>
        <w:tab/>
        <w:t>whether he will consider provincial and/or national intervention in the defaulting municipalities in terms of section 139(5) of the Constitution of the Republic of South Africa, 1996, for a failure to meet their financial obligations; if not, why not; if so, what are the relevant details?</w:t>
      </w:r>
      <w:r w:rsidRPr="00A961BB">
        <w:rPr>
          <w:rFonts w:ascii="Arial" w:hAnsi="Arial" w:cs="Arial"/>
        </w:rPr>
        <w:tab/>
      </w:r>
    </w:p>
    <w:p w:rsidR="00740985" w:rsidRPr="00A961BB" w:rsidRDefault="00740985" w:rsidP="00F7762F">
      <w:pPr>
        <w:spacing w:line="360" w:lineRule="auto"/>
        <w:jc w:val="both"/>
        <w:rPr>
          <w:rFonts w:ascii="Arial" w:hAnsi="Arial" w:cs="Arial"/>
          <w:b/>
          <w:bCs/>
          <w:color w:val="000000"/>
          <w:lang w:val="en-GB"/>
        </w:rPr>
      </w:pPr>
    </w:p>
    <w:p w:rsidR="00740985" w:rsidRPr="00A961BB" w:rsidRDefault="00740985" w:rsidP="00F7762F">
      <w:pPr>
        <w:spacing w:line="360" w:lineRule="auto"/>
        <w:jc w:val="both"/>
        <w:rPr>
          <w:rFonts w:ascii="Arial" w:hAnsi="Arial" w:cs="Arial"/>
          <w:b/>
          <w:bCs/>
          <w:color w:val="000000"/>
          <w:lang w:val="en-GB"/>
        </w:rPr>
      </w:pPr>
      <w:r>
        <w:rPr>
          <w:rFonts w:ascii="Arial" w:hAnsi="Arial" w:cs="Arial"/>
          <w:b/>
          <w:bCs/>
          <w:color w:val="000000"/>
          <w:lang w:val="en-GB"/>
        </w:rPr>
        <w:t>Reply</w:t>
      </w:r>
    </w:p>
    <w:p w:rsidR="00740985" w:rsidRPr="00A961BB" w:rsidRDefault="00740985" w:rsidP="00F7762F">
      <w:pPr>
        <w:spacing w:line="360" w:lineRule="auto"/>
        <w:jc w:val="both"/>
        <w:rPr>
          <w:rFonts w:ascii="Arial" w:hAnsi="Arial" w:cs="Arial"/>
          <w:b/>
          <w:bCs/>
          <w:color w:val="000000"/>
          <w:lang w:val="en-GB"/>
        </w:rPr>
      </w:pPr>
    </w:p>
    <w:p w:rsidR="00740985" w:rsidRPr="00A961BB" w:rsidRDefault="00740985" w:rsidP="00A961BB">
      <w:pPr>
        <w:numPr>
          <w:ilvl w:val="0"/>
          <w:numId w:val="13"/>
        </w:numPr>
        <w:spacing w:line="360" w:lineRule="auto"/>
        <w:ind w:left="540" w:hanging="540"/>
        <w:jc w:val="both"/>
        <w:rPr>
          <w:rFonts w:ascii="Arial" w:hAnsi="Arial" w:cs="Arial"/>
        </w:rPr>
      </w:pPr>
      <w:r w:rsidRPr="00A961BB">
        <w:rPr>
          <w:rFonts w:ascii="Arial" w:hAnsi="Arial" w:cs="Arial"/>
          <w:bCs/>
          <w:color w:val="000000"/>
          <w:lang w:val="en-GB"/>
        </w:rPr>
        <w:t>(</w:t>
      </w:r>
      <w:r w:rsidRPr="00A961BB">
        <w:rPr>
          <w:rFonts w:ascii="Arial" w:hAnsi="Arial" w:cs="Arial"/>
        </w:rPr>
        <w:t xml:space="preserve">a) Eskom has issued nine public notifications of partial disconnection of electricity supply </w:t>
      </w:r>
      <w:r>
        <w:rPr>
          <w:rFonts w:ascii="Arial" w:hAnsi="Arial" w:cs="Arial"/>
        </w:rPr>
        <w:t xml:space="preserve">by 31 December 2015. </w:t>
      </w:r>
      <w:r w:rsidRPr="00A961BB">
        <w:rPr>
          <w:rFonts w:ascii="Arial" w:hAnsi="Arial" w:cs="Arial"/>
        </w:rPr>
        <w:t xml:space="preserve">(b) There are no municipalities that have received notices from the Waterboards due to non-payment. </w:t>
      </w:r>
    </w:p>
    <w:p w:rsidR="00740985" w:rsidRPr="00A961BB" w:rsidRDefault="00740985" w:rsidP="00A961BB">
      <w:pPr>
        <w:spacing w:line="360" w:lineRule="auto"/>
        <w:ind w:left="540"/>
        <w:jc w:val="both"/>
        <w:rPr>
          <w:rFonts w:ascii="Arial" w:hAnsi="Arial" w:cs="Arial"/>
        </w:rPr>
      </w:pPr>
      <w:r w:rsidRPr="00A961BB">
        <w:rPr>
          <w:rFonts w:ascii="Arial" w:hAnsi="Arial" w:cs="Arial"/>
        </w:rPr>
        <w:t>(ii)The following municipalities are affected have been issued</w:t>
      </w:r>
      <w:r>
        <w:rPr>
          <w:rFonts w:ascii="Arial" w:hAnsi="Arial" w:cs="Arial"/>
        </w:rPr>
        <w:t xml:space="preserve"> with disconnection notices by Eskom. T</w:t>
      </w:r>
      <w:r w:rsidRPr="00A961BB">
        <w:rPr>
          <w:rFonts w:ascii="Arial" w:hAnsi="Arial" w:cs="Arial"/>
        </w:rPr>
        <w:t>he detailed breakdown of debt owed by each is illustrated in the table below</w:t>
      </w:r>
      <w:r>
        <w:rPr>
          <w:rFonts w:ascii="Arial" w:hAnsi="Arial" w:cs="Arial"/>
        </w:rPr>
        <w:t>:</w:t>
      </w:r>
    </w:p>
    <w:p w:rsidR="00740985" w:rsidRPr="00A961BB" w:rsidRDefault="00740985" w:rsidP="004066A3">
      <w:pPr>
        <w:spacing w:line="360" w:lineRule="auto"/>
        <w:jc w:val="both"/>
        <w:rPr>
          <w:rFonts w:ascii="Arial" w:hAnsi="Arial" w:cs="Arial"/>
          <w:bCs/>
          <w:color w:val="000000"/>
          <w:lang w:val="en-GB"/>
        </w:rPr>
      </w:pPr>
    </w:p>
    <w:p w:rsidR="00740985" w:rsidRPr="00A961BB" w:rsidRDefault="00740985" w:rsidP="004066A3">
      <w:pPr>
        <w:spacing w:line="360" w:lineRule="auto"/>
        <w:jc w:val="both"/>
        <w:rPr>
          <w:rFonts w:ascii="Arial" w:hAnsi="Arial" w:cs="Arial"/>
          <w:bCs/>
          <w:color w:val="000000"/>
          <w:lang w:val="en-GB"/>
        </w:rPr>
      </w:pPr>
    </w:p>
    <w:p w:rsidR="00740985" w:rsidRPr="00A961BB" w:rsidRDefault="00740985" w:rsidP="004066A3">
      <w:pPr>
        <w:spacing w:line="360" w:lineRule="auto"/>
        <w:jc w:val="both"/>
        <w:rPr>
          <w:rFonts w:ascii="Arial" w:hAnsi="Arial" w:cs="Arial"/>
          <w:bCs/>
          <w:color w:val="000000"/>
          <w:lang w:val="en-GB"/>
        </w:rPr>
      </w:pPr>
    </w:p>
    <w:p w:rsidR="00740985" w:rsidRPr="00A961BB" w:rsidRDefault="00740985" w:rsidP="00E3270B">
      <w:pPr>
        <w:spacing w:line="360" w:lineRule="auto"/>
        <w:jc w:val="both"/>
        <w:rPr>
          <w:rFonts w:ascii="Arial" w:hAnsi="Arial" w:cs="Arial"/>
          <w:bCs/>
          <w:color w:val="000000"/>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3150"/>
        <w:gridCol w:w="3780"/>
      </w:tblGrid>
      <w:tr w:rsidR="00740985" w:rsidRPr="00A961BB" w:rsidTr="000751CB">
        <w:trPr>
          <w:trHeight w:val="350"/>
        </w:trPr>
        <w:tc>
          <w:tcPr>
            <w:tcW w:w="2178" w:type="dxa"/>
          </w:tcPr>
          <w:p w:rsidR="00740985" w:rsidRPr="00A961BB" w:rsidRDefault="00740985" w:rsidP="000751CB">
            <w:pPr>
              <w:spacing w:line="360" w:lineRule="auto"/>
              <w:ind w:left="360"/>
              <w:rPr>
                <w:rFonts w:ascii="Arial" w:hAnsi="Arial" w:cs="Arial"/>
                <w:b/>
                <w:bCs/>
                <w:color w:val="000000"/>
                <w:lang w:val="en-GB"/>
              </w:rPr>
            </w:pPr>
            <w:r w:rsidRPr="00A961BB">
              <w:rPr>
                <w:rFonts w:ascii="Arial" w:hAnsi="Arial" w:cs="Arial"/>
                <w:b/>
                <w:bCs/>
                <w:color w:val="000000"/>
                <w:lang w:val="en-GB"/>
              </w:rPr>
              <w:t>PROVINCE</w:t>
            </w:r>
          </w:p>
        </w:tc>
        <w:tc>
          <w:tcPr>
            <w:tcW w:w="3150" w:type="dxa"/>
          </w:tcPr>
          <w:p w:rsidR="00740985" w:rsidRPr="00A961BB" w:rsidRDefault="00740985" w:rsidP="000751CB">
            <w:pPr>
              <w:spacing w:line="360" w:lineRule="auto"/>
              <w:ind w:left="360"/>
              <w:rPr>
                <w:rFonts w:ascii="Arial" w:hAnsi="Arial" w:cs="Arial"/>
                <w:b/>
                <w:bCs/>
                <w:color w:val="000000"/>
                <w:lang w:val="en-GB"/>
              </w:rPr>
            </w:pPr>
            <w:r w:rsidRPr="00A961BB">
              <w:rPr>
                <w:rFonts w:ascii="Arial" w:hAnsi="Arial" w:cs="Arial"/>
                <w:b/>
                <w:bCs/>
                <w:color w:val="000000"/>
                <w:lang w:val="en-GB"/>
              </w:rPr>
              <w:t>MUNICIPALITY</w:t>
            </w:r>
          </w:p>
        </w:tc>
        <w:tc>
          <w:tcPr>
            <w:tcW w:w="3780" w:type="dxa"/>
          </w:tcPr>
          <w:p w:rsidR="00740985" w:rsidRPr="00A961BB" w:rsidRDefault="00740985" w:rsidP="000751CB">
            <w:pPr>
              <w:spacing w:line="360" w:lineRule="auto"/>
              <w:ind w:left="360"/>
              <w:rPr>
                <w:rFonts w:ascii="Arial" w:hAnsi="Arial" w:cs="Arial"/>
                <w:b/>
                <w:bCs/>
                <w:color w:val="000000"/>
                <w:lang w:val="en-GB"/>
              </w:rPr>
            </w:pPr>
            <w:r>
              <w:rPr>
                <w:rFonts w:ascii="Arial" w:hAnsi="Arial" w:cs="Arial"/>
                <w:b/>
                <w:bCs/>
                <w:color w:val="000000"/>
                <w:lang w:val="en-GB"/>
              </w:rPr>
              <w:t>TOTAL DEBT OWED   R’000 (Million</w:t>
            </w:r>
            <w:r w:rsidRPr="00A961BB">
              <w:rPr>
                <w:rFonts w:ascii="Arial" w:hAnsi="Arial" w:cs="Arial"/>
                <w:b/>
                <w:bCs/>
                <w:color w:val="000000"/>
                <w:lang w:val="en-GB"/>
              </w:rPr>
              <w:t>)</w:t>
            </w:r>
          </w:p>
        </w:tc>
      </w:tr>
      <w:tr w:rsidR="00740985" w:rsidRPr="00A961BB" w:rsidTr="000751CB">
        <w:tc>
          <w:tcPr>
            <w:tcW w:w="2178" w:type="dxa"/>
            <w:vMerge w:val="restart"/>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Eastern Cape</w:t>
            </w:r>
          </w:p>
        </w:tc>
        <w:tc>
          <w:tcPr>
            <w:tcW w:w="315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Gariep</w:t>
            </w:r>
          </w:p>
        </w:tc>
        <w:tc>
          <w:tcPr>
            <w:tcW w:w="378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R56.8</w:t>
            </w:r>
          </w:p>
        </w:tc>
      </w:tr>
      <w:tr w:rsidR="00740985" w:rsidRPr="00A961BB" w:rsidTr="000751CB">
        <w:tc>
          <w:tcPr>
            <w:tcW w:w="2178" w:type="dxa"/>
            <w:vMerge/>
          </w:tcPr>
          <w:p w:rsidR="00740985" w:rsidRPr="00A961BB" w:rsidRDefault="00740985" w:rsidP="00F11E16">
            <w:pPr>
              <w:spacing w:line="360" w:lineRule="auto"/>
              <w:ind w:left="360"/>
              <w:jc w:val="both"/>
              <w:rPr>
                <w:rFonts w:ascii="Arial" w:hAnsi="Arial" w:cs="Arial"/>
                <w:bCs/>
                <w:color w:val="000000"/>
                <w:lang w:val="en-GB"/>
              </w:rPr>
            </w:pPr>
          </w:p>
        </w:tc>
        <w:tc>
          <w:tcPr>
            <w:tcW w:w="315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Maletswai</w:t>
            </w:r>
          </w:p>
        </w:tc>
        <w:tc>
          <w:tcPr>
            <w:tcW w:w="378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R59.2</w:t>
            </w:r>
          </w:p>
        </w:tc>
      </w:tr>
      <w:tr w:rsidR="00740985" w:rsidRPr="00A961BB" w:rsidTr="000751CB">
        <w:tc>
          <w:tcPr>
            <w:tcW w:w="2178" w:type="dxa"/>
            <w:vMerge/>
          </w:tcPr>
          <w:p w:rsidR="00740985" w:rsidRPr="00A961BB" w:rsidRDefault="00740985" w:rsidP="00F11E16">
            <w:pPr>
              <w:spacing w:line="360" w:lineRule="auto"/>
              <w:ind w:left="360"/>
              <w:jc w:val="both"/>
              <w:rPr>
                <w:rFonts w:ascii="Arial" w:hAnsi="Arial" w:cs="Arial"/>
                <w:bCs/>
                <w:color w:val="000000"/>
                <w:lang w:val="en-GB"/>
              </w:rPr>
            </w:pPr>
          </w:p>
        </w:tc>
        <w:tc>
          <w:tcPr>
            <w:tcW w:w="315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Nxuba</w:t>
            </w:r>
          </w:p>
        </w:tc>
        <w:tc>
          <w:tcPr>
            <w:tcW w:w="378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R43</w:t>
            </w:r>
          </w:p>
        </w:tc>
      </w:tr>
      <w:tr w:rsidR="00740985" w:rsidRPr="00A961BB" w:rsidTr="000751CB">
        <w:tc>
          <w:tcPr>
            <w:tcW w:w="2178" w:type="dxa"/>
            <w:vMerge/>
          </w:tcPr>
          <w:p w:rsidR="00740985" w:rsidRPr="00A961BB" w:rsidRDefault="00740985" w:rsidP="00F11E16">
            <w:pPr>
              <w:spacing w:line="360" w:lineRule="auto"/>
              <w:ind w:left="360"/>
              <w:jc w:val="both"/>
              <w:rPr>
                <w:rFonts w:ascii="Arial" w:hAnsi="Arial" w:cs="Arial"/>
                <w:bCs/>
                <w:color w:val="000000"/>
                <w:lang w:val="en-GB"/>
              </w:rPr>
            </w:pPr>
          </w:p>
        </w:tc>
        <w:tc>
          <w:tcPr>
            <w:tcW w:w="315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Ikwezi</w:t>
            </w:r>
          </w:p>
        </w:tc>
        <w:tc>
          <w:tcPr>
            <w:tcW w:w="378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R13.9</w:t>
            </w:r>
          </w:p>
        </w:tc>
      </w:tr>
      <w:tr w:rsidR="00740985" w:rsidRPr="00A961BB" w:rsidTr="000751CB">
        <w:tc>
          <w:tcPr>
            <w:tcW w:w="2178" w:type="dxa"/>
            <w:vMerge w:val="restart"/>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Northern Cape</w:t>
            </w:r>
          </w:p>
        </w:tc>
        <w:tc>
          <w:tcPr>
            <w:tcW w:w="315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Kha-ima</w:t>
            </w:r>
          </w:p>
        </w:tc>
        <w:tc>
          <w:tcPr>
            <w:tcW w:w="378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R5.7</w:t>
            </w:r>
          </w:p>
        </w:tc>
      </w:tr>
      <w:tr w:rsidR="00740985" w:rsidRPr="00A961BB" w:rsidTr="000751CB">
        <w:tc>
          <w:tcPr>
            <w:tcW w:w="2178" w:type="dxa"/>
            <w:vMerge/>
          </w:tcPr>
          <w:p w:rsidR="00740985" w:rsidRPr="00A961BB" w:rsidRDefault="00740985" w:rsidP="00F11E16">
            <w:pPr>
              <w:spacing w:line="360" w:lineRule="auto"/>
              <w:ind w:left="360"/>
              <w:jc w:val="both"/>
              <w:rPr>
                <w:rFonts w:ascii="Arial" w:hAnsi="Arial" w:cs="Arial"/>
                <w:bCs/>
                <w:color w:val="000000"/>
                <w:lang w:val="en-GB"/>
              </w:rPr>
            </w:pPr>
          </w:p>
        </w:tc>
        <w:tc>
          <w:tcPr>
            <w:tcW w:w="315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Dikgatlong</w:t>
            </w:r>
          </w:p>
        </w:tc>
        <w:tc>
          <w:tcPr>
            <w:tcW w:w="378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R23.1</w:t>
            </w:r>
          </w:p>
        </w:tc>
      </w:tr>
      <w:tr w:rsidR="00740985" w:rsidRPr="00A961BB" w:rsidTr="000751CB">
        <w:tc>
          <w:tcPr>
            <w:tcW w:w="2178" w:type="dxa"/>
            <w:vMerge/>
          </w:tcPr>
          <w:p w:rsidR="00740985" w:rsidRPr="00A961BB" w:rsidRDefault="00740985" w:rsidP="00F11E16">
            <w:pPr>
              <w:spacing w:line="360" w:lineRule="auto"/>
              <w:ind w:left="360"/>
              <w:jc w:val="both"/>
              <w:rPr>
                <w:rFonts w:ascii="Arial" w:hAnsi="Arial" w:cs="Arial"/>
                <w:bCs/>
                <w:color w:val="000000"/>
                <w:lang w:val="en-GB"/>
              </w:rPr>
            </w:pPr>
          </w:p>
        </w:tc>
        <w:tc>
          <w:tcPr>
            <w:tcW w:w="315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Ubuntu</w:t>
            </w:r>
          </w:p>
        </w:tc>
        <w:tc>
          <w:tcPr>
            <w:tcW w:w="378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R16.8</w:t>
            </w:r>
          </w:p>
        </w:tc>
      </w:tr>
      <w:tr w:rsidR="00740985" w:rsidRPr="00A961BB" w:rsidTr="000751CB">
        <w:tc>
          <w:tcPr>
            <w:tcW w:w="2178" w:type="dxa"/>
            <w:vMerge/>
          </w:tcPr>
          <w:p w:rsidR="00740985" w:rsidRPr="00A961BB" w:rsidRDefault="00740985" w:rsidP="00F11E16">
            <w:pPr>
              <w:spacing w:line="360" w:lineRule="auto"/>
              <w:ind w:left="360"/>
              <w:jc w:val="both"/>
              <w:rPr>
                <w:rFonts w:ascii="Arial" w:hAnsi="Arial" w:cs="Arial"/>
                <w:bCs/>
                <w:color w:val="000000"/>
                <w:lang w:val="en-GB"/>
              </w:rPr>
            </w:pPr>
          </w:p>
        </w:tc>
        <w:tc>
          <w:tcPr>
            <w:tcW w:w="315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Thembelihle</w:t>
            </w:r>
          </w:p>
        </w:tc>
        <w:tc>
          <w:tcPr>
            <w:tcW w:w="378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R22.7</w:t>
            </w:r>
          </w:p>
        </w:tc>
      </w:tr>
      <w:tr w:rsidR="00740985" w:rsidRPr="00A961BB" w:rsidTr="000751CB">
        <w:tc>
          <w:tcPr>
            <w:tcW w:w="2178" w:type="dxa"/>
            <w:vMerge/>
          </w:tcPr>
          <w:p w:rsidR="00740985" w:rsidRPr="00A961BB" w:rsidRDefault="00740985" w:rsidP="00F11E16">
            <w:pPr>
              <w:spacing w:line="360" w:lineRule="auto"/>
              <w:ind w:left="360"/>
              <w:jc w:val="both"/>
              <w:rPr>
                <w:rFonts w:ascii="Arial" w:hAnsi="Arial" w:cs="Arial"/>
                <w:bCs/>
                <w:color w:val="000000"/>
                <w:lang w:val="en-GB"/>
              </w:rPr>
            </w:pPr>
          </w:p>
        </w:tc>
        <w:tc>
          <w:tcPr>
            <w:tcW w:w="315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Magareng</w:t>
            </w:r>
          </w:p>
        </w:tc>
        <w:tc>
          <w:tcPr>
            <w:tcW w:w="3780" w:type="dxa"/>
          </w:tcPr>
          <w:p w:rsidR="00740985" w:rsidRPr="00A961BB" w:rsidRDefault="00740985" w:rsidP="00F11E16">
            <w:pPr>
              <w:spacing w:line="360" w:lineRule="auto"/>
              <w:ind w:left="360"/>
              <w:jc w:val="both"/>
              <w:rPr>
                <w:rFonts w:ascii="Arial" w:hAnsi="Arial" w:cs="Arial"/>
                <w:bCs/>
                <w:color w:val="000000"/>
                <w:lang w:val="en-GB"/>
              </w:rPr>
            </w:pPr>
            <w:r w:rsidRPr="00A961BB">
              <w:rPr>
                <w:rFonts w:ascii="Arial" w:hAnsi="Arial" w:cs="Arial"/>
                <w:bCs/>
                <w:color w:val="000000"/>
                <w:lang w:val="en-GB"/>
              </w:rPr>
              <w:t>R17.5</w:t>
            </w:r>
          </w:p>
        </w:tc>
      </w:tr>
    </w:tbl>
    <w:p w:rsidR="00740985" w:rsidRPr="00A961BB" w:rsidRDefault="00740985" w:rsidP="00CC1BA2">
      <w:pPr>
        <w:spacing w:line="360" w:lineRule="auto"/>
        <w:ind w:left="360"/>
        <w:jc w:val="both"/>
        <w:rPr>
          <w:rFonts w:ascii="Arial" w:hAnsi="Arial" w:cs="Arial"/>
          <w:bCs/>
          <w:color w:val="000000"/>
          <w:lang w:val="en-GB"/>
        </w:rPr>
      </w:pPr>
    </w:p>
    <w:p w:rsidR="00740985" w:rsidRPr="00A961BB" w:rsidRDefault="00740985" w:rsidP="00A961BB">
      <w:pPr>
        <w:spacing w:line="360" w:lineRule="auto"/>
        <w:ind w:left="720" w:hanging="720"/>
        <w:jc w:val="both"/>
        <w:rPr>
          <w:rFonts w:ascii="Arial" w:hAnsi="Arial" w:cs="Arial"/>
          <w:bCs/>
          <w:color w:val="000000"/>
          <w:lang w:val="en-GB"/>
        </w:rPr>
      </w:pPr>
      <w:r w:rsidRPr="00A961BB">
        <w:rPr>
          <w:rFonts w:ascii="Arial" w:hAnsi="Arial" w:cs="Arial"/>
          <w:bCs/>
          <w:color w:val="000000"/>
          <w:lang w:val="en-GB"/>
        </w:rPr>
        <w:t>(iii)</w:t>
      </w:r>
      <w:r w:rsidRPr="00A961BB">
        <w:rPr>
          <w:rFonts w:ascii="Arial" w:hAnsi="Arial" w:cs="Arial"/>
          <w:bCs/>
          <w:color w:val="000000"/>
          <w:lang w:val="en-GB"/>
        </w:rPr>
        <w:tab/>
        <w:t>Aligned to the approach taken by the Department of</w:t>
      </w:r>
      <w:r>
        <w:rPr>
          <w:rFonts w:ascii="Arial" w:hAnsi="Arial" w:cs="Arial"/>
          <w:bCs/>
          <w:color w:val="000000"/>
          <w:lang w:val="en-GB"/>
        </w:rPr>
        <w:t xml:space="preserve"> Cooperative Governance and Traditional Affairs, (COGTA)</w:t>
      </w:r>
      <w:r w:rsidRPr="00A961BB">
        <w:rPr>
          <w:rFonts w:ascii="Arial" w:hAnsi="Arial" w:cs="Arial"/>
          <w:bCs/>
          <w:color w:val="000000"/>
          <w:lang w:val="en-GB"/>
        </w:rPr>
        <w:t xml:space="preserve"> Public Enterprises (DPE) and </w:t>
      </w:r>
      <w:r>
        <w:rPr>
          <w:rFonts w:ascii="Arial" w:hAnsi="Arial" w:cs="Arial"/>
          <w:bCs/>
          <w:color w:val="000000"/>
          <w:lang w:val="en-GB"/>
        </w:rPr>
        <w:t>SALGA,</w:t>
      </w:r>
      <w:r w:rsidRPr="00A961BB">
        <w:rPr>
          <w:rFonts w:ascii="Arial" w:hAnsi="Arial" w:cs="Arial"/>
          <w:bCs/>
          <w:color w:val="000000"/>
          <w:lang w:val="en-GB"/>
        </w:rPr>
        <w:t xml:space="preserve"> Eskom </w:t>
      </w:r>
      <w:r>
        <w:rPr>
          <w:rFonts w:ascii="Arial" w:hAnsi="Arial" w:cs="Arial"/>
          <w:bCs/>
          <w:color w:val="000000"/>
          <w:lang w:val="en-GB"/>
        </w:rPr>
        <w:t xml:space="preserve">in conjunction with the national task team </w:t>
      </w:r>
      <w:r w:rsidRPr="00A961BB">
        <w:rPr>
          <w:rFonts w:ascii="Arial" w:hAnsi="Arial" w:cs="Arial"/>
          <w:bCs/>
          <w:color w:val="000000"/>
          <w:lang w:val="en-GB"/>
        </w:rPr>
        <w:t xml:space="preserve">is visiting affected municipalities, </w:t>
      </w:r>
      <w:r>
        <w:rPr>
          <w:rFonts w:ascii="Arial" w:hAnsi="Arial" w:cs="Arial"/>
          <w:bCs/>
          <w:color w:val="000000"/>
          <w:lang w:val="en-GB"/>
        </w:rPr>
        <w:t xml:space="preserve">as well as </w:t>
      </w:r>
      <w:r w:rsidRPr="00A961BB">
        <w:rPr>
          <w:rFonts w:ascii="Arial" w:hAnsi="Arial" w:cs="Arial"/>
          <w:bCs/>
          <w:color w:val="000000"/>
          <w:lang w:val="en-GB"/>
        </w:rPr>
        <w:t>those that were disconnected in December 2015 and January 2016. The objective is to assess the challenges faced by the municipalities and provide Eskom with the opportunity to enter into sustainable payment arrangements.</w:t>
      </w:r>
    </w:p>
    <w:p w:rsidR="00740985" w:rsidRPr="00A961BB" w:rsidRDefault="00740985" w:rsidP="00CC1BA2">
      <w:pPr>
        <w:spacing w:line="360" w:lineRule="auto"/>
        <w:ind w:left="360"/>
        <w:jc w:val="both"/>
        <w:rPr>
          <w:rFonts w:ascii="Arial" w:hAnsi="Arial" w:cs="Arial"/>
          <w:bCs/>
          <w:color w:val="000000"/>
          <w:lang w:val="en-GB"/>
        </w:rPr>
      </w:pPr>
    </w:p>
    <w:p w:rsidR="00740985" w:rsidRPr="000D20A7" w:rsidRDefault="00740985" w:rsidP="00A961BB">
      <w:pPr>
        <w:numPr>
          <w:ilvl w:val="0"/>
          <w:numId w:val="23"/>
        </w:numPr>
        <w:spacing w:line="360" w:lineRule="auto"/>
        <w:ind w:hanging="720"/>
        <w:jc w:val="both"/>
        <w:rPr>
          <w:rFonts w:ascii="Arial" w:hAnsi="Arial" w:cs="Arial"/>
          <w:bCs/>
          <w:color w:val="000000"/>
          <w:lang w:val="en-GB"/>
        </w:rPr>
      </w:pPr>
      <w:r w:rsidRPr="00A961BB">
        <w:rPr>
          <w:rFonts w:ascii="Arial" w:hAnsi="Arial" w:cs="Arial"/>
          <w:bCs/>
          <w:color w:val="000000"/>
          <w:lang w:val="en-GB"/>
        </w:rPr>
        <w:t xml:space="preserve">I have not yet </w:t>
      </w:r>
      <w:r w:rsidRPr="00A961BB">
        <w:rPr>
          <w:rFonts w:ascii="Arial" w:hAnsi="Arial" w:cs="Arial"/>
        </w:rPr>
        <w:t>considered an intervention in the defaulting municipalities, in terms of sectio</w:t>
      </w:r>
      <w:r>
        <w:rPr>
          <w:rFonts w:ascii="Arial" w:hAnsi="Arial" w:cs="Arial"/>
        </w:rPr>
        <w:t>n 139(5) of the Constitution, the power</w:t>
      </w:r>
      <w:r w:rsidRPr="00A961BB">
        <w:rPr>
          <w:rFonts w:ascii="Arial" w:hAnsi="Arial" w:cs="Arial"/>
        </w:rPr>
        <w:t xml:space="preserve"> to intervene in municipalities rest</w:t>
      </w:r>
      <w:r>
        <w:rPr>
          <w:rFonts w:ascii="Arial" w:hAnsi="Arial" w:cs="Arial"/>
        </w:rPr>
        <w:t>s</w:t>
      </w:r>
      <w:r w:rsidRPr="00A961BB">
        <w:rPr>
          <w:rFonts w:ascii="Arial" w:hAnsi="Arial" w:cs="Arial"/>
        </w:rPr>
        <w:t xml:space="preserve"> with the relevant provincial executives. It is only when a provincial executive cannot or does not adequately exercise the powers or perform the functions referred to in subsection (5) that the national executive is permitted to intervene in a municipality</w:t>
      </w:r>
      <w:r>
        <w:rPr>
          <w:rFonts w:ascii="Arial" w:hAnsi="Arial" w:cs="Arial"/>
        </w:rPr>
        <w:t>.</w:t>
      </w:r>
      <w:bookmarkStart w:id="0" w:name="_GoBack"/>
      <w:bookmarkEnd w:id="0"/>
    </w:p>
    <w:p w:rsidR="00740985" w:rsidRDefault="00740985" w:rsidP="000D20A7">
      <w:pPr>
        <w:spacing w:line="360" w:lineRule="auto"/>
        <w:jc w:val="both"/>
        <w:rPr>
          <w:rFonts w:ascii="Arial" w:hAnsi="Arial" w:cs="Arial"/>
          <w:bCs/>
          <w:color w:val="000000"/>
          <w:lang w:val="en-GB"/>
        </w:rPr>
      </w:pPr>
    </w:p>
    <w:p w:rsidR="00740985" w:rsidRPr="00D17E85" w:rsidRDefault="00740985" w:rsidP="00147245">
      <w:pPr>
        <w:tabs>
          <w:tab w:val="left" w:pos="4678"/>
        </w:tabs>
        <w:ind w:left="1440" w:firstLine="720"/>
        <w:rPr>
          <w:rFonts w:ascii="Arial" w:hAnsi="Arial" w:cs="Arial"/>
          <w:lang w:val="en-GB"/>
        </w:rPr>
      </w:pPr>
    </w:p>
    <w:p w:rsidR="00740985" w:rsidRPr="00D17E85" w:rsidRDefault="00740985" w:rsidP="00147245">
      <w:pPr>
        <w:ind w:left="1440" w:firstLine="720"/>
        <w:rPr>
          <w:rFonts w:ascii="Arial" w:hAnsi="Arial" w:cs="Arial"/>
          <w:lang w:val="en-GB"/>
        </w:rPr>
      </w:pPr>
    </w:p>
    <w:p w:rsidR="00740985" w:rsidRPr="00D17E85" w:rsidRDefault="00740985" w:rsidP="00147245">
      <w:pPr>
        <w:ind w:left="1440" w:firstLine="720"/>
        <w:rPr>
          <w:rFonts w:ascii="Arial" w:hAnsi="Arial" w:cs="Arial"/>
          <w:lang w:val="en-GB"/>
        </w:rPr>
      </w:pPr>
    </w:p>
    <w:p w:rsidR="00740985" w:rsidRPr="00D17E85" w:rsidRDefault="00740985" w:rsidP="00147245">
      <w:pPr>
        <w:jc w:val="center"/>
        <w:rPr>
          <w:rFonts w:ascii="Arial" w:hAnsi="Arial" w:cs="Arial"/>
          <w:b/>
          <w:color w:val="287A51"/>
        </w:rPr>
      </w:pPr>
    </w:p>
    <w:p w:rsidR="00740985" w:rsidRDefault="00740985" w:rsidP="00147245">
      <w:pPr>
        <w:jc w:val="center"/>
        <w:rPr>
          <w:rFonts w:ascii="Arial Bold" w:hAnsi="Arial Bold" w:cs="Arial"/>
          <w:b/>
          <w:bCs/>
          <w:color w:val="287A51"/>
          <w:sz w:val="16"/>
          <w:szCs w:val="16"/>
        </w:rPr>
      </w:pPr>
    </w:p>
    <w:sectPr w:rsidR="00740985"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85" w:rsidRDefault="00740985">
      <w:r>
        <w:separator/>
      </w:r>
    </w:p>
  </w:endnote>
  <w:endnote w:type="continuationSeparator" w:id="0">
    <w:p w:rsidR="00740985" w:rsidRDefault="00740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85" w:rsidRDefault="00740985">
      <w:r>
        <w:separator/>
      </w:r>
    </w:p>
  </w:footnote>
  <w:footnote w:type="continuationSeparator" w:id="0">
    <w:p w:rsidR="00740985" w:rsidRDefault="00740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685E03"/>
    <w:multiLevelType w:val="hybridMultilevel"/>
    <w:tmpl w:val="B59CD330"/>
    <w:lvl w:ilvl="0" w:tplc="ED4644C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CEF5E30"/>
    <w:multiLevelType w:val="hybridMultilevel"/>
    <w:tmpl w:val="905CB772"/>
    <w:lvl w:ilvl="0" w:tplc="48BEF520">
      <w:start w:val="2"/>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9">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0">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3E6C73B0"/>
    <w:multiLevelType w:val="hybridMultilevel"/>
    <w:tmpl w:val="6F0A3AEA"/>
    <w:lvl w:ilvl="0" w:tplc="CBAE855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47EC7507"/>
    <w:multiLevelType w:val="hybridMultilevel"/>
    <w:tmpl w:val="CC40357C"/>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074BF"/>
    <w:multiLevelType w:val="hybridMultilevel"/>
    <w:tmpl w:val="94ECC026"/>
    <w:lvl w:ilvl="0" w:tplc="037865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0752F7D"/>
    <w:multiLevelType w:val="hybridMultilevel"/>
    <w:tmpl w:val="C646E6DA"/>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3E7589A"/>
    <w:multiLevelType w:val="hybridMultilevel"/>
    <w:tmpl w:val="BA3893D4"/>
    <w:lvl w:ilvl="0" w:tplc="CE14860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5397831"/>
    <w:multiLevelType w:val="hybridMultilevel"/>
    <w:tmpl w:val="6CD4A184"/>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E5A406D"/>
    <w:multiLevelType w:val="hybridMultilevel"/>
    <w:tmpl w:val="D68A226C"/>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AD50F57"/>
    <w:multiLevelType w:val="hybridMultilevel"/>
    <w:tmpl w:val="C646E6DA"/>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8B6354"/>
    <w:multiLevelType w:val="hybridMultilevel"/>
    <w:tmpl w:val="43C09F3E"/>
    <w:lvl w:ilvl="0" w:tplc="2440EE94">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num w:numId="1">
    <w:abstractNumId w:val="1"/>
  </w:num>
  <w:num w:numId="2">
    <w:abstractNumId w:val="6"/>
  </w:num>
  <w:num w:numId="3">
    <w:abstractNumId w:val="12"/>
  </w:num>
  <w:num w:numId="4">
    <w:abstractNumId w:val="10"/>
  </w:num>
  <w:num w:numId="5">
    <w:abstractNumId w:val="9"/>
  </w:num>
  <w:num w:numId="6">
    <w:abstractNumId w:val="19"/>
  </w:num>
  <w:num w:numId="7">
    <w:abstractNumId w:val="3"/>
  </w:num>
  <w:num w:numId="8">
    <w:abstractNumId w:val="2"/>
  </w:num>
  <w:num w:numId="9">
    <w:abstractNumId w:val="14"/>
  </w:num>
  <w:num w:numId="10">
    <w:abstractNumId w:val="8"/>
  </w:num>
  <w:num w:numId="11">
    <w:abstractNumId w:val="5"/>
  </w:num>
  <w:num w:numId="12">
    <w:abstractNumId w:val="0"/>
  </w:num>
  <w:num w:numId="13">
    <w:abstractNumId w:val="22"/>
  </w:num>
  <w:num w:numId="14">
    <w:abstractNumId w:val="4"/>
  </w:num>
  <w:num w:numId="15">
    <w:abstractNumId w:val="11"/>
  </w:num>
  <w:num w:numId="16">
    <w:abstractNumId w:val="13"/>
  </w:num>
  <w:num w:numId="17">
    <w:abstractNumId w:val="21"/>
  </w:num>
  <w:num w:numId="18">
    <w:abstractNumId w:val="20"/>
  </w:num>
  <w:num w:numId="19">
    <w:abstractNumId w:val="16"/>
  </w:num>
  <w:num w:numId="20">
    <w:abstractNumId w:val="17"/>
  </w:num>
  <w:num w:numId="21">
    <w:abstractNumId w:val="18"/>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551A"/>
    <w:rsid w:val="00017071"/>
    <w:rsid w:val="00020887"/>
    <w:rsid w:val="000266F7"/>
    <w:rsid w:val="000379B9"/>
    <w:rsid w:val="00053DD6"/>
    <w:rsid w:val="00071841"/>
    <w:rsid w:val="000751CB"/>
    <w:rsid w:val="000954AC"/>
    <w:rsid w:val="000D20A7"/>
    <w:rsid w:val="000D2C53"/>
    <w:rsid w:val="000D4AA5"/>
    <w:rsid w:val="000F0B80"/>
    <w:rsid w:val="000F39C1"/>
    <w:rsid w:val="000F61B0"/>
    <w:rsid w:val="001003CB"/>
    <w:rsid w:val="001314FC"/>
    <w:rsid w:val="00147245"/>
    <w:rsid w:val="00156E9A"/>
    <w:rsid w:val="00171B43"/>
    <w:rsid w:val="00173C60"/>
    <w:rsid w:val="00180EC8"/>
    <w:rsid w:val="00181508"/>
    <w:rsid w:val="00191112"/>
    <w:rsid w:val="001934E0"/>
    <w:rsid w:val="00195C07"/>
    <w:rsid w:val="001B0C9C"/>
    <w:rsid w:val="001C0FB9"/>
    <w:rsid w:val="001D6ADE"/>
    <w:rsid w:val="001E69BF"/>
    <w:rsid w:val="001E719B"/>
    <w:rsid w:val="0021288B"/>
    <w:rsid w:val="00216D32"/>
    <w:rsid w:val="002235FD"/>
    <w:rsid w:val="00247292"/>
    <w:rsid w:val="002576DD"/>
    <w:rsid w:val="002816D5"/>
    <w:rsid w:val="002949F2"/>
    <w:rsid w:val="002A645A"/>
    <w:rsid w:val="002B2990"/>
    <w:rsid w:val="002C4244"/>
    <w:rsid w:val="002C5792"/>
    <w:rsid w:val="002D6EFA"/>
    <w:rsid w:val="002F42A9"/>
    <w:rsid w:val="002F42F4"/>
    <w:rsid w:val="0031080D"/>
    <w:rsid w:val="00314E06"/>
    <w:rsid w:val="0031617F"/>
    <w:rsid w:val="00322981"/>
    <w:rsid w:val="00323310"/>
    <w:rsid w:val="00331981"/>
    <w:rsid w:val="00357A0E"/>
    <w:rsid w:val="00357BF2"/>
    <w:rsid w:val="00382DA0"/>
    <w:rsid w:val="003907A9"/>
    <w:rsid w:val="00395CB9"/>
    <w:rsid w:val="003A0DE9"/>
    <w:rsid w:val="003B5631"/>
    <w:rsid w:val="003D4D79"/>
    <w:rsid w:val="004066A3"/>
    <w:rsid w:val="004325C6"/>
    <w:rsid w:val="004779EE"/>
    <w:rsid w:val="00495467"/>
    <w:rsid w:val="0049779D"/>
    <w:rsid w:val="004A4C5A"/>
    <w:rsid w:val="004A757D"/>
    <w:rsid w:val="004B2C14"/>
    <w:rsid w:val="004B3FFB"/>
    <w:rsid w:val="004B4AB0"/>
    <w:rsid w:val="004B5A08"/>
    <w:rsid w:val="004C109A"/>
    <w:rsid w:val="004C442F"/>
    <w:rsid w:val="004D2ABF"/>
    <w:rsid w:val="004E2BCE"/>
    <w:rsid w:val="0050428A"/>
    <w:rsid w:val="00504740"/>
    <w:rsid w:val="00511169"/>
    <w:rsid w:val="005229E8"/>
    <w:rsid w:val="0053047F"/>
    <w:rsid w:val="00537AA9"/>
    <w:rsid w:val="00542AD1"/>
    <w:rsid w:val="0054419A"/>
    <w:rsid w:val="005806D7"/>
    <w:rsid w:val="005A0136"/>
    <w:rsid w:val="005D0762"/>
    <w:rsid w:val="005D0D35"/>
    <w:rsid w:val="005E3509"/>
    <w:rsid w:val="005F13AA"/>
    <w:rsid w:val="005F5EB3"/>
    <w:rsid w:val="005F60DB"/>
    <w:rsid w:val="0061676A"/>
    <w:rsid w:val="0064503F"/>
    <w:rsid w:val="00647ED0"/>
    <w:rsid w:val="0066291D"/>
    <w:rsid w:val="0067079D"/>
    <w:rsid w:val="0067399D"/>
    <w:rsid w:val="006B06EF"/>
    <w:rsid w:val="006D3C21"/>
    <w:rsid w:val="006D5BC7"/>
    <w:rsid w:val="006E5B84"/>
    <w:rsid w:val="00724A26"/>
    <w:rsid w:val="00725433"/>
    <w:rsid w:val="007261E1"/>
    <w:rsid w:val="0073738E"/>
    <w:rsid w:val="00740985"/>
    <w:rsid w:val="00765941"/>
    <w:rsid w:val="007670C4"/>
    <w:rsid w:val="00781D95"/>
    <w:rsid w:val="007B5563"/>
    <w:rsid w:val="007D22C5"/>
    <w:rsid w:val="007D4F67"/>
    <w:rsid w:val="007D6AEE"/>
    <w:rsid w:val="007F55E8"/>
    <w:rsid w:val="007F79EA"/>
    <w:rsid w:val="00801607"/>
    <w:rsid w:val="00803A7E"/>
    <w:rsid w:val="00807984"/>
    <w:rsid w:val="008275AD"/>
    <w:rsid w:val="00843814"/>
    <w:rsid w:val="00862675"/>
    <w:rsid w:val="00887845"/>
    <w:rsid w:val="008918F2"/>
    <w:rsid w:val="008A1477"/>
    <w:rsid w:val="008B684B"/>
    <w:rsid w:val="008C3B42"/>
    <w:rsid w:val="008D003B"/>
    <w:rsid w:val="008D367A"/>
    <w:rsid w:val="008D5EBF"/>
    <w:rsid w:val="008E38AA"/>
    <w:rsid w:val="008F623B"/>
    <w:rsid w:val="008F6740"/>
    <w:rsid w:val="008F7425"/>
    <w:rsid w:val="00906EB4"/>
    <w:rsid w:val="0092116D"/>
    <w:rsid w:val="00935A33"/>
    <w:rsid w:val="00953105"/>
    <w:rsid w:val="00954992"/>
    <w:rsid w:val="00955D50"/>
    <w:rsid w:val="00965EF5"/>
    <w:rsid w:val="00966064"/>
    <w:rsid w:val="009743E3"/>
    <w:rsid w:val="00977C5F"/>
    <w:rsid w:val="00991283"/>
    <w:rsid w:val="009B3ADB"/>
    <w:rsid w:val="009C2F40"/>
    <w:rsid w:val="009D3205"/>
    <w:rsid w:val="00A02D47"/>
    <w:rsid w:val="00A03A37"/>
    <w:rsid w:val="00A167C8"/>
    <w:rsid w:val="00A35576"/>
    <w:rsid w:val="00A47B22"/>
    <w:rsid w:val="00A71D7F"/>
    <w:rsid w:val="00A85D6E"/>
    <w:rsid w:val="00A961BB"/>
    <w:rsid w:val="00A96E8D"/>
    <w:rsid w:val="00AD2E06"/>
    <w:rsid w:val="00AD717A"/>
    <w:rsid w:val="00B05E06"/>
    <w:rsid w:val="00B125C0"/>
    <w:rsid w:val="00B246CC"/>
    <w:rsid w:val="00B549CD"/>
    <w:rsid w:val="00B6542A"/>
    <w:rsid w:val="00BC70D5"/>
    <w:rsid w:val="00BC7A56"/>
    <w:rsid w:val="00C10D9B"/>
    <w:rsid w:val="00C11E38"/>
    <w:rsid w:val="00C33C12"/>
    <w:rsid w:val="00C37B4A"/>
    <w:rsid w:val="00C563C3"/>
    <w:rsid w:val="00C96B32"/>
    <w:rsid w:val="00CB3451"/>
    <w:rsid w:val="00CC1BA2"/>
    <w:rsid w:val="00CD652C"/>
    <w:rsid w:val="00CE1F98"/>
    <w:rsid w:val="00D06842"/>
    <w:rsid w:val="00D06D3F"/>
    <w:rsid w:val="00D17E85"/>
    <w:rsid w:val="00D2427D"/>
    <w:rsid w:val="00D319E8"/>
    <w:rsid w:val="00D339A2"/>
    <w:rsid w:val="00D342CF"/>
    <w:rsid w:val="00D4293B"/>
    <w:rsid w:val="00D43C90"/>
    <w:rsid w:val="00D46B95"/>
    <w:rsid w:val="00D5130B"/>
    <w:rsid w:val="00D748C7"/>
    <w:rsid w:val="00D803C9"/>
    <w:rsid w:val="00D80A85"/>
    <w:rsid w:val="00D9186C"/>
    <w:rsid w:val="00DA17B5"/>
    <w:rsid w:val="00DA4A8C"/>
    <w:rsid w:val="00DB6375"/>
    <w:rsid w:val="00DC609A"/>
    <w:rsid w:val="00DD0EA8"/>
    <w:rsid w:val="00DD560B"/>
    <w:rsid w:val="00DE7DE2"/>
    <w:rsid w:val="00E01507"/>
    <w:rsid w:val="00E12A8E"/>
    <w:rsid w:val="00E12B61"/>
    <w:rsid w:val="00E21270"/>
    <w:rsid w:val="00E24A23"/>
    <w:rsid w:val="00E26F93"/>
    <w:rsid w:val="00E3270B"/>
    <w:rsid w:val="00E33822"/>
    <w:rsid w:val="00E55ABF"/>
    <w:rsid w:val="00E738DE"/>
    <w:rsid w:val="00E928F5"/>
    <w:rsid w:val="00ED39AF"/>
    <w:rsid w:val="00ED3F3F"/>
    <w:rsid w:val="00EF438B"/>
    <w:rsid w:val="00EF7791"/>
    <w:rsid w:val="00F058E6"/>
    <w:rsid w:val="00F11E16"/>
    <w:rsid w:val="00F1593F"/>
    <w:rsid w:val="00F250B3"/>
    <w:rsid w:val="00F3348F"/>
    <w:rsid w:val="00F47B2B"/>
    <w:rsid w:val="00F5318C"/>
    <w:rsid w:val="00F7571F"/>
    <w:rsid w:val="00F76DC6"/>
    <w:rsid w:val="00F7762F"/>
    <w:rsid w:val="00F84D21"/>
    <w:rsid w:val="00F916D5"/>
    <w:rsid w:val="00FA3703"/>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A3"/>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504740"/>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04740"/>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504740"/>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504740"/>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 w:type="table" w:styleId="TableGrid">
    <w:name w:val="Table Grid"/>
    <w:basedOn w:val="TableNormal"/>
    <w:uiPriority w:val="99"/>
    <w:locked/>
    <w:rsid w:val="004066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3509"/>
    <w:pPr>
      <w:ind w:left="720"/>
    </w:pPr>
  </w:style>
</w:styles>
</file>

<file path=word/webSettings.xml><?xml version="1.0" encoding="utf-8"?>
<w:webSettings xmlns:r="http://schemas.openxmlformats.org/officeDocument/2006/relationships" xmlns:w="http://schemas.openxmlformats.org/wordprocessingml/2006/main">
  <w:divs>
    <w:div w:id="1022901380">
      <w:marLeft w:val="0"/>
      <w:marRight w:val="0"/>
      <w:marTop w:val="0"/>
      <w:marBottom w:val="0"/>
      <w:divBdr>
        <w:top w:val="none" w:sz="0" w:space="0" w:color="auto"/>
        <w:left w:val="none" w:sz="0" w:space="0" w:color="auto"/>
        <w:bottom w:val="none" w:sz="0" w:space="0" w:color="auto"/>
        <w:right w:val="none" w:sz="0" w:space="0" w:color="auto"/>
      </w:divBdr>
    </w:div>
    <w:div w:id="1022901381">
      <w:marLeft w:val="0"/>
      <w:marRight w:val="0"/>
      <w:marTop w:val="0"/>
      <w:marBottom w:val="0"/>
      <w:divBdr>
        <w:top w:val="none" w:sz="0" w:space="0" w:color="auto"/>
        <w:left w:val="none" w:sz="0" w:space="0" w:color="auto"/>
        <w:bottom w:val="none" w:sz="0" w:space="0" w:color="auto"/>
        <w:right w:val="none" w:sz="0" w:space="0" w:color="auto"/>
      </w:divBdr>
    </w:div>
    <w:div w:id="1022901382">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382</Words>
  <Characters>2178</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2016-03-09T06:43:00Z</cp:lastPrinted>
  <dcterms:created xsi:type="dcterms:W3CDTF">2016-04-08T05:41:00Z</dcterms:created>
  <dcterms:modified xsi:type="dcterms:W3CDTF">2016-04-08T05:41:00Z</dcterms:modified>
</cp:coreProperties>
</file>