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5C12B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5C12B0" w:rsidP="005C12B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5C12B0" w:rsidP="005C12B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D61D1E">
        <w:rPr>
          <w:rFonts w:ascii="Arial" w:eastAsia="Calibri" w:hAnsi="Arial" w:cs="Arial"/>
          <w:b/>
          <w:bCs/>
          <w:lang w:val="en-GB"/>
        </w:rPr>
        <w:t>447</w:t>
      </w:r>
    </w:p>
    <w:p w:rsidR="00130BDB" w:rsidRPr="005C12B0" w:rsidRDefault="00130BDB" w:rsidP="005C12B0">
      <w:pPr>
        <w:spacing w:after="200" w:line="276" w:lineRule="auto"/>
        <w:rPr>
          <w:rFonts w:ascii="Arial" w:eastAsia="Calibri" w:hAnsi="Arial" w:cs="Arial"/>
          <w:b/>
          <w:bCs/>
          <w:lang w:val="en-GB"/>
        </w:rPr>
      </w:pPr>
      <w:r w:rsidRPr="005C12B0">
        <w:rPr>
          <w:rFonts w:ascii="Arial" w:eastAsia="Calibri" w:hAnsi="Arial" w:cs="Arial"/>
          <w:b/>
          <w:bCs/>
          <w:lang w:val="en-GB"/>
        </w:rPr>
        <w:t xml:space="preserve">DATE OF QUESTION: </w:t>
      </w:r>
      <w:r w:rsidR="00351A89" w:rsidRPr="005C12B0">
        <w:rPr>
          <w:rFonts w:ascii="Arial" w:eastAsia="Calibri" w:hAnsi="Arial" w:cs="Arial"/>
          <w:b/>
          <w:bCs/>
          <w:lang w:val="en-GB"/>
        </w:rPr>
        <w:t>03</w:t>
      </w:r>
      <w:r w:rsidR="005C12B0" w:rsidRPr="005C12B0">
        <w:rPr>
          <w:rFonts w:ascii="Arial" w:eastAsia="Calibri" w:hAnsi="Arial" w:cs="Arial"/>
          <w:b/>
          <w:bCs/>
          <w:lang w:val="en-GB"/>
        </w:rPr>
        <w:t xml:space="preserve"> JULY </w:t>
      </w:r>
      <w:r w:rsidRPr="005C12B0">
        <w:rPr>
          <w:rFonts w:ascii="Arial" w:eastAsia="Calibri" w:hAnsi="Arial" w:cs="Arial"/>
          <w:b/>
          <w:bCs/>
          <w:lang w:val="en-GB"/>
        </w:rPr>
        <w:t>20</w:t>
      </w:r>
      <w:r w:rsidR="003F2E8D" w:rsidRPr="005C12B0">
        <w:rPr>
          <w:rFonts w:ascii="Arial" w:eastAsia="Calibri" w:hAnsi="Arial" w:cs="Arial"/>
          <w:b/>
          <w:bCs/>
          <w:lang w:val="en-GB"/>
        </w:rPr>
        <w:t>20</w:t>
      </w:r>
    </w:p>
    <w:p w:rsidR="00130BDB" w:rsidRPr="005C12B0" w:rsidRDefault="00130BDB" w:rsidP="005C12B0">
      <w:pPr>
        <w:spacing w:before="100" w:beforeAutospacing="1" w:after="100" w:afterAutospacing="1" w:line="276" w:lineRule="auto"/>
        <w:outlineLvl w:val="0"/>
        <w:rPr>
          <w:rFonts w:ascii="Arial" w:eastAsia="Calibri" w:hAnsi="Arial" w:cs="Arial"/>
          <w:b/>
          <w:bCs/>
          <w:lang w:val="en-GB"/>
        </w:rPr>
      </w:pPr>
      <w:r w:rsidRPr="005C12B0">
        <w:rPr>
          <w:rFonts w:ascii="Arial" w:eastAsia="Calibri" w:hAnsi="Arial" w:cs="Arial"/>
          <w:b/>
          <w:bCs/>
          <w:lang w:val="en-GB"/>
        </w:rPr>
        <w:t xml:space="preserve">DATE OF SUBMISSION: </w:t>
      </w:r>
      <w:r w:rsidR="00351A89" w:rsidRPr="005C12B0">
        <w:rPr>
          <w:rFonts w:ascii="Arial" w:eastAsia="Calibri" w:hAnsi="Arial" w:cs="Arial"/>
          <w:b/>
          <w:bCs/>
          <w:lang w:val="en-GB"/>
        </w:rPr>
        <w:t>17</w:t>
      </w:r>
      <w:r w:rsidR="00216A40" w:rsidRPr="005C12B0">
        <w:rPr>
          <w:rFonts w:ascii="Arial" w:eastAsia="Calibri" w:hAnsi="Arial" w:cs="Arial"/>
          <w:b/>
          <w:bCs/>
          <w:lang w:val="en-GB"/>
        </w:rPr>
        <w:t xml:space="preserve"> JULY</w:t>
      </w:r>
      <w:r w:rsidR="00E361D7" w:rsidRPr="005C12B0">
        <w:rPr>
          <w:rFonts w:ascii="Arial" w:eastAsia="Calibri" w:hAnsi="Arial" w:cs="Arial"/>
          <w:b/>
          <w:bCs/>
          <w:lang w:val="en-GB"/>
        </w:rPr>
        <w:t xml:space="preserve"> </w:t>
      </w:r>
      <w:r w:rsidRPr="005C12B0">
        <w:rPr>
          <w:rFonts w:ascii="Arial" w:eastAsia="Calibri" w:hAnsi="Arial" w:cs="Arial"/>
          <w:b/>
          <w:bCs/>
          <w:lang w:val="en-GB"/>
        </w:rPr>
        <w:t>20</w:t>
      </w:r>
      <w:r w:rsidR="003F2E8D" w:rsidRPr="005C12B0">
        <w:rPr>
          <w:rFonts w:ascii="Arial" w:eastAsia="Calibri" w:hAnsi="Arial" w:cs="Arial"/>
          <w:b/>
          <w:bCs/>
          <w:lang w:val="en-GB"/>
        </w:rPr>
        <w:t>20</w:t>
      </w:r>
    </w:p>
    <w:p w:rsidR="0041293A" w:rsidRPr="00D61D1E" w:rsidRDefault="0041293A" w:rsidP="00D61D1E">
      <w:pPr>
        <w:spacing w:before="120" w:after="120" w:line="360" w:lineRule="auto"/>
        <w:jc w:val="both"/>
        <w:rPr>
          <w:rFonts w:ascii="Arial" w:hAnsi="Arial" w:cs="Arial"/>
          <w:b/>
          <w:bCs/>
          <w:lang w:val="en-ZA"/>
        </w:rPr>
      </w:pPr>
      <w:r w:rsidRPr="0041293A">
        <w:rPr>
          <w:rFonts w:ascii="Arial" w:hAnsi="Arial" w:cs="Arial"/>
          <w:b/>
          <w:bCs/>
          <w:lang w:val="en-ZA"/>
        </w:rPr>
        <w:t>M. Gen O S Terblanche</w:t>
      </w:r>
      <w:r w:rsidRPr="00D61D1E">
        <w:rPr>
          <w:rFonts w:ascii="Arial" w:hAnsi="Arial" w:cs="Arial"/>
          <w:b/>
          <w:bCs/>
          <w:lang w:val="en-ZA"/>
        </w:rPr>
        <w:t xml:space="preserve"> (DA) to ask the Minister of Justice and Correctional Services</w:t>
      </w:r>
      <w:r w:rsidRPr="00D61D1E">
        <w:rPr>
          <w:rFonts w:ascii="Arial" w:hAnsi="Arial" w:cs="Arial"/>
          <w:b/>
          <w:bCs/>
          <w:lang w:val="en-ZA"/>
        </w:rPr>
        <w:fldChar w:fldCharType="begin"/>
      </w:r>
      <w:r w:rsidRPr="00D61D1E">
        <w:rPr>
          <w:rFonts w:ascii="Arial" w:hAnsi="Arial" w:cs="Arial"/>
          <w:b/>
          <w:bCs/>
          <w:lang w:val="en-ZA"/>
        </w:rPr>
        <w:instrText xml:space="preserve"> XE "Justice and Correctional Services" </w:instrText>
      </w:r>
      <w:r w:rsidRPr="00D61D1E">
        <w:rPr>
          <w:rFonts w:ascii="Arial" w:hAnsi="Arial" w:cs="Arial"/>
          <w:b/>
          <w:bCs/>
          <w:lang w:val="en-ZA"/>
        </w:rPr>
        <w:fldChar w:fldCharType="end"/>
      </w:r>
      <w:r w:rsidRPr="00D61D1E">
        <w:rPr>
          <w:rFonts w:ascii="Arial" w:hAnsi="Arial" w:cs="Arial"/>
          <w:b/>
          <w:bCs/>
          <w:lang w:val="en-ZA"/>
        </w:rPr>
        <w:t>:</w:t>
      </w:r>
    </w:p>
    <w:p w:rsidR="00D61D1E" w:rsidRDefault="0041293A" w:rsidP="00D61D1E">
      <w:pPr>
        <w:spacing w:before="120" w:after="120" w:line="360" w:lineRule="auto"/>
        <w:jc w:val="both"/>
        <w:rPr>
          <w:rFonts w:ascii="Arial" w:hAnsi="Arial" w:cs="Arial"/>
          <w:lang w:val="en-ZA"/>
        </w:rPr>
      </w:pPr>
      <w:r w:rsidRPr="00D61D1E">
        <w:rPr>
          <w:rFonts w:ascii="Arial" w:hAnsi="Arial" w:cs="Arial"/>
          <w:lang w:val="en-ZA"/>
        </w:rPr>
        <w:t>What are the (a) total number of cases related to arrests for contravention of any Covid-19 related regulations referred to his department by the SA Police Service since 26 March 2020 that resulted in successful prosecutions and (b) are the details of the convictions in each case?</w:t>
      </w:r>
    </w:p>
    <w:p w:rsidR="0041293A" w:rsidRPr="00D61D1E" w:rsidRDefault="0041293A" w:rsidP="00D61D1E">
      <w:pPr>
        <w:spacing w:before="120" w:after="120" w:line="360" w:lineRule="auto"/>
        <w:ind w:left="360"/>
        <w:jc w:val="right"/>
        <w:rPr>
          <w:rFonts w:ascii="Arial" w:hAnsi="Arial" w:cs="Arial"/>
          <w:b/>
          <w:lang w:val="en-ZA"/>
        </w:rPr>
      </w:pPr>
      <w:r w:rsidRPr="00D61D1E">
        <w:rPr>
          <w:rFonts w:ascii="Arial" w:hAnsi="Arial" w:cs="Arial"/>
          <w:b/>
          <w:lang w:val="en-ZA"/>
        </w:rPr>
        <w:t>NW1818E</w:t>
      </w:r>
    </w:p>
    <w:p w:rsidR="00216A40" w:rsidRPr="00A600B3" w:rsidRDefault="00216A40" w:rsidP="00A600B3">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351448" w:rsidRDefault="00351448" w:rsidP="006D7E71">
      <w:pPr>
        <w:spacing w:before="120" w:after="120" w:line="360" w:lineRule="auto"/>
        <w:rPr>
          <w:rFonts w:ascii="Arial" w:hAnsi="Arial" w:cs="Arial"/>
          <w:b/>
        </w:rPr>
      </w:pPr>
    </w:p>
    <w:p w:rsidR="00983C6B" w:rsidRDefault="00583EAC" w:rsidP="008C0DA7">
      <w:pPr>
        <w:numPr>
          <w:ilvl w:val="0"/>
          <w:numId w:val="44"/>
        </w:numPr>
        <w:spacing w:line="360" w:lineRule="auto"/>
        <w:jc w:val="both"/>
        <w:rPr>
          <w:rFonts w:ascii="Arial" w:hAnsi="Arial" w:cs="Arial"/>
        </w:rPr>
      </w:pPr>
      <w:r>
        <w:rPr>
          <w:rFonts w:ascii="Arial" w:hAnsi="Arial" w:cs="Arial"/>
        </w:rPr>
        <w:t xml:space="preserve">All cases referred to the </w:t>
      </w:r>
      <w:r w:rsidR="00D70B7B">
        <w:rPr>
          <w:rFonts w:ascii="Arial" w:hAnsi="Arial" w:cs="Arial"/>
        </w:rPr>
        <w:t>National Prosecuting Authority (</w:t>
      </w:r>
      <w:r>
        <w:rPr>
          <w:rFonts w:ascii="Arial" w:hAnsi="Arial" w:cs="Arial"/>
        </w:rPr>
        <w:t>NPA</w:t>
      </w:r>
      <w:r w:rsidR="00D70B7B">
        <w:rPr>
          <w:rFonts w:ascii="Arial" w:hAnsi="Arial" w:cs="Arial"/>
        </w:rPr>
        <w:t>)</w:t>
      </w:r>
      <w:r>
        <w:rPr>
          <w:rFonts w:ascii="Arial" w:hAnsi="Arial" w:cs="Arial"/>
        </w:rPr>
        <w:t xml:space="preserve"> are screened and if a reasonable prospect of success is determined by the screening prosecutor</w:t>
      </w:r>
      <w:r w:rsidR="008C0DA7">
        <w:rPr>
          <w:rFonts w:ascii="Arial" w:hAnsi="Arial" w:cs="Arial"/>
        </w:rPr>
        <w:t>,</w:t>
      </w:r>
      <w:r>
        <w:rPr>
          <w:rFonts w:ascii="Arial" w:hAnsi="Arial" w:cs="Arial"/>
        </w:rPr>
        <w:t xml:space="preserve"> the case is </w:t>
      </w:r>
      <w:r w:rsidR="00D70B7B">
        <w:rPr>
          <w:rFonts w:ascii="Arial" w:hAnsi="Arial" w:cs="Arial"/>
        </w:rPr>
        <w:t>enrolled and registered on the I</w:t>
      </w:r>
      <w:r>
        <w:rPr>
          <w:rFonts w:ascii="Arial" w:hAnsi="Arial" w:cs="Arial"/>
        </w:rPr>
        <w:t xml:space="preserve">ntegrated </w:t>
      </w:r>
      <w:r w:rsidR="00D70B7B">
        <w:rPr>
          <w:rFonts w:ascii="Arial" w:hAnsi="Arial" w:cs="Arial"/>
        </w:rPr>
        <w:t>Case Management S</w:t>
      </w:r>
      <w:r>
        <w:rPr>
          <w:rFonts w:ascii="Arial" w:hAnsi="Arial" w:cs="Arial"/>
        </w:rPr>
        <w:t xml:space="preserve">ystem. </w:t>
      </w:r>
      <w:r w:rsidR="00D86669" w:rsidRPr="00D86669">
        <w:rPr>
          <w:rFonts w:ascii="Arial" w:hAnsi="Arial" w:cs="Arial"/>
        </w:rPr>
        <w:t xml:space="preserve">The total number of </w:t>
      </w:r>
      <w:r w:rsidR="00EE31A6">
        <w:rPr>
          <w:rFonts w:ascii="Arial" w:hAnsi="Arial" w:cs="Arial"/>
        </w:rPr>
        <w:t>first appearance</w:t>
      </w:r>
      <w:r w:rsidR="00035CE5">
        <w:rPr>
          <w:rFonts w:ascii="Arial" w:hAnsi="Arial" w:cs="Arial"/>
        </w:rPr>
        <w:t xml:space="preserve"> cases</w:t>
      </w:r>
      <w:r w:rsidR="00D86669">
        <w:rPr>
          <w:rFonts w:ascii="Arial" w:hAnsi="Arial" w:cs="Arial"/>
        </w:rPr>
        <w:t xml:space="preserve"> </w:t>
      </w:r>
      <w:r w:rsidR="00035CE5">
        <w:rPr>
          <w:rFonts w:ascii="Arial" w:hAnsi="Arial" w:cs="Arial"/>
        </w:rPr>
        <w:t xml:space="preserve">relating to the </w:t>
      </w:r>
      <w:r w:rsidR="00F93D06">
        <w:rPr>
          <w:rFonts w:ascii="Arial" w:hAnsi="Arial" w:cs="Arial"/>
          <w:lang w:val="en-ZA"/>
        </w:rPr>
        <w:t xml:space="preserve">contravention of </w:t>
      </w:r>
      <w:r w:rsidRPr="00D61D1E">
        <w:rPr>
          <w:rFonts w:ascii="Arial" w:hAnsi="Arial" w:cs="Arial"/>
          <w:lang w:val="en-ZA"/>
        </w:rPr>
        <w:t>regulations</w:t>
      </w:r>
      <w:r w:rsidR="00035CE5">
        <w:rPr>
          <w:rFonts w:ascii="Arial" w:hAnsi="Arial" w:cs="Arial"/>
          <w:lang w:val="en-ZA"/>
        </w:rPr>
        <w:t xml:space="preserve"> </w:t>
      </w:r>
      <w:r w:rsidR="00F93D06">
        <w:rPr>
          <w:rFonts w:ascii="Arial" w:hAnsi="Arial" w:cs="Arial"/>
          <w:lang w:val="en-ZA"/>
        </w:rPr>
        <w:t xml:space="preserve">in terms of the Disaster Management Act and </w:t>
      </w:r>
      <w:r>
        <w:rPr>
          <w:rFonts w:ascii="Arial" w:hAnsi="Arial" w:cs="Arial"/>
        </w:rPr>
        <w:t>registered during</w:t>
      </w:r>
      <w:r w:rsidR="00D86669">
        <w:rPr>
          <w:rFonts w:ascii="Arial" w:hAnsi="Arial" w:cs="Arial"/>
        </w:rPr>
        <w:t xml:space="preserve"> the period 26 March 2020 to 30 June 2020 is indicated in the table below:</w:t>
      </w:r>
    </w:p>
    <w:tbl>
      <w:tblPr>
        <w:tblW w:w="9038" w:type="dxa"/>
        <w:tblInd w:w="426" w:type="dxa"/>
        <w:tblBorders>
          <w:top w:val="single" w:sz="4" w:space="0" w:color="auto"/>
          <w:left w:val="single" w:sz="4" w:space="0" w:color="auto"/>
          <w:bottom w:val="single" w:sz="4" w:space="0" w:color="auto"/>
          <w:right w:val="single" w:sz="4" w:space="0" w:color="auto"/>
        </w:tblBorders>
        <w:tblLayout w:type="fixed"/>
        <w:tblLook w:val="04A0"/>
      </w:tblPr>
      <w:tblGrid>
        <w:gridCol w:w="3880"/>
        <w:gridCol w:w="2579"/>
        <w:gridCol w:w="2579"/>
      </w:tblGrid>
      <w:tr w:rsidR="00EE31A6" w:rsidRPr="00583EAC" w:rsidTr="00D70B7B">
        <w:trPr>
          <w:trHeight w:val="397"/>
          <w:tblHeader/>
        </w:trPr>
        <w:tc>
          <w:tcPr>
            <w:tcW w:w="3880" w:type="dxa"/>
            <w:tcBorders>
              <w:top w:val="single" w:sz="4" w:space="0" w:color="auto"/>
              <w:bottom w:val="single" w:sz="4" w:space="0" w:color="auto"/>
              <w:right w:val="single" w:sz="4" w:space="0" w:color="auto"/>
            </w:tcBorders>
            <w:shd w:val="clear" w:color="auto" w:fill="ACB9CA"/>
            <w:vAlign w:val="center"/>
            <w:hideMark/>
          </w:tcPr>
          <w:p w:rsidR="00E82224" w:rsidRPr="00E82224" w:rsidRDefault="00E82224" w:rsidP="00E82224">
            <w:pPr>
              <w:jc w:val="center"/>
              <w:rPr>
                <w:rFonts w:ascii="Arial Narrow" w:hAnsi="Arial Narrow"/>
                <w:b/>
                <w:bCs/>
                <w:color w:val="000000"/>
                <w:sz w:val="22"/>
                <w:szCs w:val="20"/>
              </w:rPr>
            </w:pPr>
            <w:r w:rsidRPr="00E82224">
              <w:rPr>
                <w:rFonts w:ascii="Arial Narrow" w:hAnsi="Arial Narrow"/>
                <w:b/>
                <w:bCs/>
                <w:color w:val="000000"/>
                <w:sz w:val="22"/>
                <w:szCs w:val="20"/>
              </w:rPr>
              <w:t>ALERT LEVEL</w:t>
            </w:r>
          </w:p>
        </w:tc>
        <w:tc>
          <w:tcPr>
            <w:tcW w:w="2579"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E82224" w:rsidRPr="00E82224" w:rsidRDefault="00E82224" w:rsidP="00E82224">
            <w:pPr>
              <w:jc w:val="center"/>
              <w:rPr>
                <w:rFonts w:ascii="Arial Narrow" w:hAnsi="Arial Narrow"/>
                <w:b/>
                <w:bCs/>
                <w:color w:val="000000"/>
                <w:sz w:val="22"/>
                <w:szCs w:val="20"/>
              </w:rPr>
            </w:pPr>
            <w:r w:rsidRPr="00E82224">
              <w:rPr>
                <w:rFonts w:ascii="Arial Narrow" w:hAnsi="Arial Narrow"/>
                <w:b/>
                <w:bCs/>
                <w:color w:val="000000"/>
                <w:sz w:val="22"/>
                <w:szCs w:val="20"/>
              </w:rPr>
              <w:t>CASES</w:t>
            </w:r>
          </w:p>
        </w:tc>
        <w:tc>
          <w:tcPr>
            <w:tcW w:w="2579" w:type="dxa"/>
            <w:tcBorders>
              <w:top w:val="single" w:sz="4" w:space="0" w:color="auto"/>
              <w:left w:val="single" w:sz="4" w:space="0" w:color="auto"/>
              <w:bottom w:val="single" w:sz="4" w:space="0" w:color="auto"/>
            </w:tcBorders>
            <w:shd w:val="clear" w:color="auto" w:fill="ACB9CA"/>
            <w:vAlign w:val="center"/>
            <w:hideMark/>
          </w:tcPr>
          <w:p w:rsidR="00E82224" w:rsidRPr="00E82224" w:rsidRDefault="00E82224" w:rsidP="00E82224">
            <w:pPr>
              <w:jc w:val="center"/>
              <w:rPr>
                <w:rFonts w:ascii="Arial Narrow" w:hAnsi="Arial Narrow"/>
                <w:b/>
                <w:bCs/>
                <w:color w:val="000000"/>
                <w:sz w:val="22"/>
                <w:szCs w:val="20"/>
              </w:rPr>
            </w:pPr>
            <w:r w:rsidRPr="00E82224">
              <w:rPr>
                <w:rFonts w:ascii="Arial Narrow" w:hAnsi="Arial Narrow"/>
                <w:b/>
                <w:bCs/>
                <w:color w:val="000000"/>
                <w:sz w:val="22"/>
                <w:szCs w:val="20"/>
              </w:rPr>
              <w:t>ACCUSED</w:t>
            </w:r>
          </w:p>
        </w:tc>
      </w:tr>
      <w:tr w:rsidR="00583EAC" w:rsidRPr="00E82224" w:rsidTr="00D70B7B">
        <w:trPr>
          <w:trHeight w:val="397"/>
        </w:trPr>
        <w:tc>
          <w:tcPr>
            <w:tcW w:w="3880" w:type="dxa"/>
            <w:tcBorders>
              <w:top w:val="single" w:sz="4" w:space="0" w:color="auto"/>
              <w:bottom w:val="single" w:sz="4" w:space="0" w:color="auto"/>
              <w:right w:val="single" w:sz="4" w:space="0" w:color="auto"/>
            </w:tcBorders>
            <w:shd w:val="clear" w:color="000000" w:fill="D6DCE4"/>
            <w:noWrap/>
            <w:vAlign w:val="center"/>
            <w:hideMark/>
          </w:tcPr>
          <w:p w:rsidR="00583EAC" w:rsidRPr="00E82224" w:rsidRDefault="00583EAC" w:rsidP="00583EAC">
            <w:pPr>
              <w:rPr>
                <w:rFonts w:ascii="Arial Narrow" w:hAnsi="Arial Narrow"/>
                <w:b/>
                <w:bCs/>
                <w:color w:val="000000"/>
                <w:sz w:val="22"/>
                <w:szCs w:val="20"/>
              </w:rPr>
            </w:pPr>
            <w:r w:rsidRPr="00E82224">
              <w:rPr>
                <w:rFonts w:ascii="Arial Narrow" w:hAnsi="Arial Narrow"/>
                <w:b/>
                <w:bCs/>
                <w:color w:val="000000"/>
                <w:sz w:val="22"/>
                <w:szCs w:val="20"/>
              </w:rPr>
              <w:t>L5 (26 Mar</w:t>
            </w:r>
            <w:r w:rsidR="00D70B7B">
              <w:rPr>
                <w:rFonts w:ascii="Arial Narrow" w:hAnsi="Arial Narrow"/>
                <w:b/>
                <w:bCs/>
                <w:color w:val="000000"/>
                <w:sz w:val="22"/>
                <w:szCs w:val="20"/>
              </w:rPr>
              <w:t>ch</w:t>
            </w:r>
            <w:r w:rsidRPr="00E82224">
              <w:rPr>
                <w:rFonts w:ascii="Arial Narrow" w:hAnsi="Arial Narrow"/>
                <w:b/>
                <w:bCs/>
                <w:color w:val="000000"/>
                <w:sz w:val="22"/>
                <w:szCs w:val="20"/>
              </w:rPr>
              <w:t xml:space="preserve"> - 30 Apr</w:t>
            </w:r>
            <w:r w:rsidR="00D70B7B">
              <w:rPr>
                <w:rFonts w:ascii="Arial Narrow" w:hAnsi="Arial Narrow"/>
                <w:b/>
                <w:bCs/>
                <w:color w:val="000000"/>
                <w:sz w:val="22"/>
                <w:szCs w:val="20"/>
              </w:rPr>
              <w:t>il</w:t>
            </w:r>
            <w:r w:rsidRPr="00E82224">
              <w:rPr>
                <w:rFonts w:ascii="Arial Narrow" w:hAnsi="Arial Narrow"/>
                <w:b/>
                <w:bCs/>
                <w:color w:val="000000"/>
                <w:sz w:val="22"/>
                <w:szCs w:val="20"/>
              </w:rPr>
              <w:t>)</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12 768</w:t>
            </w:r>
          </w:p>
        </w:tc>
        <w:tc>
          <w:tcPr>
            <w:tcW w:w="2579" w:type="dxa"/>
            <w:tcBorders>
              <w:top w:val="single" w:sz="4" w:space="0" w:color="auto"/>
              <w:left w:val="single" w:sz="4" w:space="0" w:color="auto"/>
              <w:bottom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27 947</w:t>
            </w:r>
          </w:p>
        </w:tc>
      </w:tr>
      <w:tr w:rsidR="00583EAC" w:rsidRPr="00E82224" w:rsidTr="00D70B7B">
        <w:trPr>
          <w:trHeight w:val="397"/>
        </w:trPr>
        <w:tc>
          <w:tcPr>
            <w:tcW w:w="3880" w:type="dxa"/>
            <w:tcBorders>
              <w:top w:val="single" w:sz="4" w:space="0" w:color="auto"/>
              <w:bottom w:val="single" w:sz="4" w:space="0" w:color="auto"/>
              <w:right w:val="single" w:sz="4" w:space="0" w:color="auto"/>
            </w:tcBorders>
            <w:shd w:val="clear" w:color="000000" w:fill="D6DCE4"/>
            <w:noWrap/>
            <w:vAlign w:val="center"/>
            <w:hideMark/>
          </w:tcPr>
          <w:p w:rsidR="00583EAC" w:rsidRPr="00E82224" w:rsidRDefault="00583EAC" w:rsidP="00583EAC">
            <w:pPr>
              <w:rPr>
                <w:rFonts w:ascii="Arial Narrow" w:hAnsi="Arial Narrow"/>
                <w:b/>
                <w:bCs/>
                <w:color w:val="000000"/>
                <w:sz w:val="22"/>
                <w:szCs w:val="20"/>
              </w:rPr>
            </w:pPr>
            <w:r w:rsidRPr="00E82224">
              <w:rPr>
                <w:rFonts w:ascii="Arial Narrow" w:hAnsi="Arial Narrow"/>
                <w:b/>
                <w:bCs/>
                <w:color w:val="000000"/>
                <w:sz w:val="22"/>
                <w:szCs w:val="20"/>
              </w:rPr>
              <w:t>L4 (May)</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8 487</w:t>
            </w:r>
          </w:p>
        </w:tc>
        <w:tc>
          <w:tcPr>
            <w:tcW w:w="2579" w:type="dxa"/>
            <w:tcBorders>
              <w:top w:val="single" w:sz="4" w:space="0" w:color="auto"/>
              <w:left w:val="single" w:sz="4" w:space="0" w:color="auto"/>
              <w:bottom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14 275</w:t>
            </w:r>
          </w:p>
        </w:tc>
      </w:tr>
      <w:tr w:rsidR="00583EAC" w:rsidRPr="00E82224" w:rsidTr="00D70B7B">
        <w:trPr>
          <w:trHeight w:val="397"/>
        </w:trPr>
        <w:tc>
          <w:tcPr>
            <w:tcW w:w="3880" w:type="dxa"/>
            <w:tcBorders>
              <w:top w:val="single" w:sz="4" w:space="0" w:color="auto"/>
              <w:bottom w:val="single" w:sz="4" w:space="0" w:color="auto"/>
              <w:right w:val="single" w:sz="4" w:space="0" w:color="auto"/>
            </w:tcBorders>
            <w:shd w:val="clear" w:color="000000" w:fill="D6DCE4"/>
            <w:noWrap/>
            <w:vAlign w:val="center"/>
            <w:hideMark/>
          </w:tcPr>
          <w:p w:rsidR="00583EAC" w:rsidRPr="00E82224" w:rsidRDefault="00583EAC" w:rsidP="00583EAC">
            <w:pPr>
              <w:rPr>
                <w:rFonts w:ascii="Arial Narrow" w:hAnsi="Arial Narrow"/>
                <w:b/>
                <w:bCs/>
                <w:color w:val="000000"/>
                <w:sz w:val="22"/>
                <w:szCs w:val="20"/>
              </w:rPr>
            </w:pPr>
            <w:r w:rsidRPr="00E82224">
              <w:rPr>
                <w:rFonts w:ascii="Arial Narrow" w:hAnsi="Arial Narrow"/>
                <w:b/>
                <w:bCs/>
                <w:color w:val="000000"/>
                <w:sz w:val="22"/>
                <w:szCs w:val="20"/>
              </w:rPr>
              <w:t>L3 (Jun</w:t>
            </w:r>
            <w:r w:rsidR="00D70B7B">
              <w:rPr>
                <w:rFonts w:ascii="Arial Narrow" w:hAnsi="Arial Narrow"/>
                <w:b/>
                <w:bCs/>
                <w:color w:val="000000"/>
                <w:sz w:val="22"/>
                <w:szCs w:val="20"/>
              </w:rPr>
              <w:t>e</w:t>
            </w:r>
            <w:r w:rsidRPr="00E82224">
              <w:rPr>
                <w:rFonts w:ascii="Arial Narrow" w:hAnsi="Arial Narrow"/>
                <w:b/>
                <w:bCs/>
                <w:color w:val="000000"/>
                <w:sz w:val="22"/>
                <w:szCs w:val="20"/>
              </w:rPr>
              <w:t>)</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2 837</w:t>
            </w:r>
          </w:p>
        </w:tc>
        <w:tc>
          <w:tcPr>
            <w:tcW w:w="2579" w:type="dxa"/>
            <w:tcBorders>
              <w:top w:val="single" w:sz="4" w:space="0" w:color="auto"/>
              <w:left w:val="single" w:sz="4" w:space="0" w:color="auto"/>
              <w:bottom w:val="single" w:sz="4" w:space="0" w:color="auto"/>
            </w:tcBorders>
            <w:shd w:val="clear" w:color="auto" w:fill="auto"/>
            <w:noWrap/>
            <w:vAlign w:val="center"/>
            <w:hideMark/>
          </w:tcPr>
          <w:p w:rsidR="00583EAC" w:rsidRPr="00583EAC" w:rsidRDefault="00583EAC" w:rsidP="00583EAC">
            <w:pPr>
              <w:jc w:val="center"/>
              <w:rPr>
                <w:rFonts w:ascii="Arial Narrow" w:hAnsi="Arial Narrow"/>
                <w:sz w:val="22"/>
              </w:rPr>
            </w:pPr>
            <w:r w:rsidRPr="00583EAC">
              <w:rPr>
                <w:rFonts w:ascii="Arial Narrow" w:hAnsi="Arial Narrow"/>
                <w:sz w:val="22"/>
              </w:rPr>
              <w:t>4 590</w:t>
            </w:r>
          </w:p>
        </w:tc>
      </w:tr>
      <w:tr w:rsidR="00583EAC" w:rsidRPr="00583EAC" w:rsidTr="00D70B7B">
        <w:trPr>
          <w:trHeight w:val="397"/>
        </w:trPr>
        <w:tc>
          <w:tcPr>
            <w:tcW w:w="3880" w:type="dxa"/>
            <w:tcBorders>
              <w:top w:val="single" w:sz="4" w:space="0" w:color="auto"/>
              <w:bottom w:val="single" w:sz="4" w:space="0" w:color="auto"/>
              <w:right w:val="single" w:sz="4" w:space="0" w:color="auto"/>
            </w:tcBorders>
            <w:shd w:val="clear" w:color="auto" w:fill="ACB9CA"/>
            <w:noWrap/>
            <w:vAlign w:val="center"/>
            <w:hideMark/>
          </w:tcPr>
          <w:p w:rsidR="00583EAC" w:rsidRPr="00373D71" w:rsidRDefault="00583EAC" w:rsidP="00583EAC">
            <w:pPr>
              <w:rPr>
                <w:rFonts w:ascii="Arial Narrow" w:hAnsi="Arial Narrow"/>
                <w:b/>
                <w:bCs/>
                <w:color w:val="000000"/>
                <w:sz w:val="22"/>
                <w:szCs w:val="20"/>
              </w:rPr>
            </w:pPr>
            <w:r w:rsidRPr="00373D71">
              <w:rPr>
                <w:rFonts w:ascii="Arial Narrow" w:hAnsi="Arial Narrow"/>
                <w:b/>
                <w:bCs/>
                <w:color w:val="000000"/>
                <w:sz w:val="22"/>
                <w:szCs w:val="20"/>
              </w:rPr>
              <w:t>TOTAL</w:t>
            </w:r>
          </w:p>
        </w:tc>
        <w:tc>
          <w:tcPr>
            <w:tcW w:w="2579"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rsidR="00583EAC" w:rsidRPr="00583EAC" w:rsidRDefault="00583EAC" w:rsidP="00583EAC">
            <w:pPr>
              <w:jc w:val="center"/>
              <w:rPr>
                <w:rFonts w:ascii="Arial Narrow" w:hAnsi="Arial Narrow"/>
                <w:b/>
                <w:sz w:val="22"/>
              </w:rPr>
            </w:pPr>
            <w:r w:rsidRPr="00583EAC">
              <w:rPr>
                <w:rFonts w:ascii="Arial Narrow" w:hAnsi="Arial Narrow"/>
                <w:b/>
                <w:sz w:val="22"/>
              </w:rPr>
              <w:t>24 092</w:t>
            </w:r>
          </w:p>
        </w:tc>
        <w:tc>
          <w:tcPr>
            <w:tcW w:w="2579" w:type="dxa"/>
            <w:tcBorders>
              <w:top w:val="single" w:sz="4" w:space="0" w:color="auto"/>
              <w:left w:val="single" w:sz="4" w:space="0" w:color="auto"/>
              <w:bottom w:val="single" w:sz="4" w:space="0" w:color="auto"/>
            </w:tcBorders>
            <w:shd w:val="clear" w:color="auto" w:fill="ACB9CA"/>
            <w:noWrap/>
            <w:vAlign w:val="center"/>
            <w:hideMark/>
          </w:tcPr>
          <w:p w:rsidR="00583EAC" w:rsidRPr="00583EAC" w:rsidRDefault="00583EAC" w:rsidP="00583EAC">
            <w:pPr>
              <w:jc w:val="center"/>
              <w:rPr>
                <w:rFonts w:ascii="Arial Narrow" w:hAnsi="Arial Narrow"/>
                <w:b/>
                <w:sz w:val="22"/>
              </w:rPr>
            </w:pPr>
            <w:r w:rsidRPr="00583EAC">
              <w:rPr>
                <w:rFonts w:ascii="Arial Narrow" w:hAnsi="Arial Narrow"/>
                <w:b/>
                <w:sz w:val="22"/>
              </w:rPr>
              <w:t>46 812</w:t>
            </w:r>
          </w:p>
        </w:tc>
      </w:tr>
      <w:tr w:rsidR="00EE31A6" w:rsidRPr="00583EAC" w:rsidTr="001311CD">
        <w:trPr>
          <w:trHeight w:val="397"/>
        </w:trPr>
        <w:tc>
          <w:tcPr>
            <w:tcW w:w="9038" w:type="dxa"/>
            <w:gridSpan w:val="3"/>
            <w:tcBorders>
              <w:top w:val="single" w:sz="4" w:space="0" w:color="auto"/>
              <w:bottom w:val="single" w:sz="4" w:space="0" w:color="auto"/>
            </w:tcBorders>
            <w:shd w:val="clear" w:color="auto" w:fill="ACB9CA"/>
            <w:noWrap/>
            <w:vAlign w:val="center"/>
          </w:tcPr>
          <w:p w:rsidR="00EE31A6" w:rsidRPr="00583EAC" w:rsidRDefault="00EE31A6" w:rsidP="00E82224">
            <w:pPr>
              <w:jc w:val="center"/>
              <w:rPr>
                <w:rFonts w:ascii="Arial Narrow" w:hAnsi="Arial Narrow"/>
                <w:bCs/>
                <w:i/>
                <w:color w:val="000000"/>
                <w:sz w:val="22"/>
                <w:szCs w:val="20"/>
              </w:rPr>
            </w:pPr>
            <w:r w:rsidRPr="00583EAC">
              <w:rPr>
                <w:rFonts w:ascii="Arial Narrow" w:hAnsi="Arial Narrow"/>
                <w:bCs/>
                <w:i/>
                <w:color w:val="000000"/>
                <w:sz w:val="22"/>
                <w:szCs w:val="20"/>
              </w:rPr>
              <w:t>Data extracted from the integrated case management system</w:t>
            </w:r>
          </w:p>
        </w:tc>
      </w:tr>
    </w:tbl>
    <w:p w:rsidR="00E82224" w:rsidRDefault="00E82224" w:rsidP="00E82224">
      <w:pPr>
        <w:ind w:left="360"/>
        <w:rPr>
          <w:rFonts w:ascii="Arial" w:hAnsi="Arial" w:cs="Arial"/>
        </w:rPr>
      </w:pPr>
    </w:p>
    <w:p w:rsidR="00D86669" w:rsidRPr="00D86669" w:rsidRDefault="00D86669" w:rsidP="00D86669">
      <w:pPr>
        <w:ind w:left="720"/>
        <w:rPr>
          <w:rFonts w:ascii="Arial" w:hAnsi="Arial" w:cs="Arial"/>
        </w:rPr>
      </w:pPr>
    </w:p>
    <w:p w:rsidR="00D86669" w:rsidRPr="00336650" w:rsidRDefault="00BC2A5C" w:rsidP="00EE31A6">
      <w:pPr>
        <w:numPr>
          <w:ilvl w:val="0"/>
          <w:numId w:val="44"/>
        </w:numPr>
        <w:spacing w:line="360" w:lineRule="auto"/>
        <w:rPr>
          <w:rFonts w:ascii="Arial" w:hAnsi="Arial" w:cs="Arial"/>
        </w:rPr>
      </w:pPr>
      <w:r>
        <w:rPr>
          <w:rFonts w:ascii="Arial" w:hAnsi="Arial" w:cs="Arial"/>
        </w:rPr>
        <w:t xml:space="preserve">(i) </w:t>
      </w:r>
      <w:r w:rsidR="00E82224" w:rsidRPr="00336650">
        <w:rPr>
          <w:rFonts w:ascii="Arial" w:hAnsi="Arial" w:cs="Arial"/>
        </w:rPr>
        <w:t>The number of convict</w:t>
      </w:r>
      <w:r w:rsidR="008C0DA7" w:rsidRPr="00336650">
        <w:rPr>
          <w:rFonts w:ascii="Arial" w:hAnsi="Arial" w:cs="Arial"/>
        </w:rPr>
        <w:t xml:space="preserve">ed cases </w:t>
      </w:r>
      <w:r w:rsidR="005E6378" w:rsidRPr="00336650">
        <w:rPr>
          <w:rFonts w:ascii="Arial" w:hAnsi="Arial" w:cs="Arial"/>
        </w:rPr>
        <w:t xml:space="preserve">per Alert Level is indicated in the table below: </w:t>
      </w:r>
    </w:p>
    <w:tbl>
      <w:tblPr>
        <w:tblW w:w="0" w:type="auto"/>
        <w:tblInd w:w="426" w:type="dxa"/>
        <w:tblBorders>
          <w:top w:val="single" w:sz="4" w:space="0" w:color="auto"/>
          <w:left w:val="single" w:sz="4" w:space="0" w:color="auto"/>
          <w:bottom w:val="single" w:sz="4" w:space="0" w:color="auto"/>
          <w:right w:val="single" w:sz="4" w:space="0" w:color="auto"/>
        </w:tblBorders>
        <w:tblLook w:val="04A0"/>
      </w:tblPr>
      <w:tblGrid>
        <w:gridCol w:w="3793"/>
        <w:gridCol w:w="2622"/>
        <w:gridCol w:w="2623"/>
      </w:tblGrid>
      <w:tr w:rsidR="000D7B9E" w:rsidRPr="00336650" w:rsidTr="00D70B7B">
        <w:trPr>
          <w:trHeight w:val="397"/>
          <w:tblHeader/>
        </w:trPr>
        <w:tc>
          <w:tcPr>
            <w:tcW w:w="3793" w:type="dxa"/>
            <w:tcBorders>
              <w:top w:val="single" w:sz="4" w:space="0" w:color="auto"/>
              <w:bottom w:val="single" w:sz="4" w:space="0" w:color="auto"/>
              <w:right w:val="single" w:sz="4" w:space="0" w:color="auto"/>
            </w:tcBorders>
            <w:shd w:val="clear" w:color="auto" w:fill="ACB9CA"/>
            <w:vAlign w:val="center"/>
            <w:hideMark/>
          </w:tcPr>
          <w:p w:rsidR="000D7B9E" w:rsidRPr="00336650" w:rsidRDefault="000D7B9E" w:rsidP="000D7B9E">
            <w:pPr>
              <w:jc w:val="center"/>
              <w:rPr>
                <w:rFonts w:ascii="Arial" w:hAnsi="Arial" w:cs="Arial"/>
                <w:b/>
                <w:bCs/>
                <w:color w:val="000000"/>
              </w:rPr>
            </w:pPr>
            <w:r w:rsidRPr="00336650">
              <w:rPr>
                <w:rFonts w:ascii="Arial" w:hAnsi="Arial" w:cs="Arial"/>
                <w:b/>
                <w:bCs/>
                <w:color w:val="000000"/>
              </w:rPr>
              <w:t>ALERT LEVEL</w:t>
            </w:r>
          </w:p>
        </w:tc>
        <w:tc>
          <w:tcPr>
            <w:tcW w:w="2622" w:type="dxa"/>
            <w:tcBorders>
              <w:top w:val="single" w:sz="4" w:space="0" w:color="auto"/>
              <w:left w:val="single" w:sz="4" w:space="0" w:color="auto"/>
              <w:bottom w:val="single" w:sz="4" w:space="0" w:color="auto"/>
              <w:right w:val="single" w:sz="4" w:space="0" w:color="auto"/>
            </w:tcBorders>
            <w:shd w:val="clear" w:color="auto" w:fill="ACB9CA"/>
            <w:vAlign w:val="center"/>
            <w:hideMark/>
          </w:tcPr>
          <w:p w:rsidR="000D7B9E" w:rsidRPr="00336650" w:rsidRDefault="000D7B9E" w:rsidP="000D7B9E">
            <w:pPr>
              <w:jc w:val="center"/>
              <w:rPr>
                <w:rFonts w:ascii="Arial" w:hAnsi="Arial" w:cs="Arial"/>
                <w:b/>
                <w:bCs/>
                <w:color w:val="000000"/>
              </w:rPr>
            </w:pPr>
            <w:r w:rsidRPr="00336650">
              <w:rPr>
                <w:rFonts w:ascii="Arial" w:hAnsi="Arial" w:cs="Arial"/>
                <w:b/>
                <w:bCs/>
                <w:color w:val="000000"/>
              </w:rPr>
              <w:t>CASES CONVICTED</w:t>
            </w:r>
          </w:p>
        </w:tc>
        <w:tc>
          <w:tcPr>
            <w:tcW w:w="2623" w:type="dxa"/>
            <w:tcBorders>
              <w:top w:val="single" w:sz="4" w:space="0" w:color="auto"/>
              <w:left w:val="single" w:sz="4" w:space="0" w:color="auto"/>
              <w:bottom w:val="single" w:sz="4" w:space="0" w:color="auto"/>
            </w:tcBorders>
            <w:shd w:val="clear" w:color="auto" w:fill="ACB9CA"/>
            <w:vAlign w:val="center"/>
          </w:tcPr>
          <w:p w:rsidR="000D7B9E" w:rsidRPr="00336650" w:rsidRDefault="000D7B9E" w:rsidP="000D7B9E">
            <w:pPr>
              <w:jc w:val="center"/>
              <w:rPr>
                <w:rFonts w:ascii="Arial" w:hAnsi="Arial" w:cs="Arial"/>
                <w:b/>
                <w:bCs/>
                <w:color w:val="000000"/>
              </w:rPr>
            </w:pPr>
            <w:r w:rsidRPr="00336650">
              <w:rPr>
                <w:rFonts w:ascii="Arial" w:hAnsi="Arial" w:cs="Arial"/>
                <w:b/>
                <w:bCs/>
                <w:color w:val="000000"/>
              </w:rPr>
              <w:t>ACCUSED</w:t>
            </w:r>
          </w:p>
        </w:tc>
      </w:tr>
      <w:tr w:rsidR="00F93D06" w:rsidRPr="00336650" w:rsidTr="00D70B7B">
        <w:trPr>
          <w:trHeight w:val="397"/>
        </w:trPr>
        <w:tc>
          <w:tcPr>
            <w:tcW w:w="3793" w:type="dxa"/>
            <w:tcBorders>
              <w:top w:val="single" w:sz="4" w:space="0" w:color="auto"/>
              <w:bottom w:val="single" w:sz="4" w:space="0" w:color="auto"/>
              <w:right w:val="single" w:sz="4" w:space="0" w:color="auto"/>
            </w:tcBorders>
            <w:shd w:val="clear" w:color="000000" w:fill="D6DCE4"/>
            <w:noWrap/>
            <w:vAlign w:val="center"/>
            <w:hideMark/>
          </w:tcPr>
          <w:p w:rsidR="00F93D06" w:rsidRPr="00336650" w:rsidRDefault="00F93D06" w:rsidP="00F93D06">
            <w:pPr>
              <w:rPr>
                <w:rFonts w:ascii="Arial" w:hAnsi="Arial" w:cs="Arial"/>
                <w:b/>
                <w:bCs/>
                <w:color w:val="000000"/>
              </w:rPr>
            </w:pPr>
            <w:r w:rsidRPr="00336650">
              <w:rPr>
                <w:rFonts w:ascii="Arial" w:hAnsi="Arial" w:cs="Arial"/>
                <w:b/>
                <w:bCs/>
                <w:color w:val="000000"/>
              </w:rPr>
              <w:t>L5 (26 Mar - 30 Apr)</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910</w:t>
            </w:r>
          </w:p>
        </w:tc>
        <w:tc>
          <w:tcPr>
            <w:tcW w:w="2623" w:type="dxa"/>
            <w:tcBorders>
              <w:top w:val="single" w:sz="4" w:space="0" w:color="auto"/>
              <w:left w:val="single" w:sz="4" w:space="0" w:color="auto"/>
              <w:bottom w:val="single" w:sz="4" w:space="0" w:color="auto"/>
            </w:tcBorders>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1 567</w:t>
            </w:r>
          </w:p>
        </w:tc>
      </w:tr>
      <w:tr w:rsidR="00F93D06" w:rsidRPr="00336650" w:rsidTr="00D70B7B">
        <w:trPr>
          <w:trHeight w:val="397"/>
        </w:trPr>
        <w:tc>
          <w:tcPr>
            <w:tcW w:w="3793" w:type="dxa"/>
            <w:tcBorders>
              <w:top w:val="single" w:sz="4" w:space="0" w:color="auto"/>
              <w:bottom w:val="single" w:sz="4" w:space="0" w:color="auto"/>
              <w:right w:val="single" w:sz="4" w:space="0" w:color="auto"/>
            </w:tcBorders>
            <w:shd w:val="clear" w:color="000000" w:fill="D6DCE4"/>
            <w:noWrap/>
            <w:vAlign w:val="center"/>
            <w:hideMark/>
          </w:tcPr>
          <w:p w:rsidR="00F93D06" w:rsidRPr="00336650" w:rsidRDefault="00F93D06" w:rsidP="00F93D06">
            <w:pPr>
              <w:rPr>
                <w:rFonts w:ascii="Arial" w:hAnsi="Arial" w:cs="Arial"/>
                <w:b/>
                <w:bCs/>
                <w:color w:val="000000"/>
              </w:rPr>
            </w:pPr>
            <w:r w:rsidRPr="00336650">
              <w:rPr>
                <w:rFonts w:ascii="Arial" w:hAnsi="Arial" w:cs="Arial"/>
                <w:b/>
                <w:bCs/>
                <w:color w:val="000000"/>
              </w:rPr>
              <w:t>L4 (May)</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591</w:t>
            </w:r>
          </w:p>
        </w:tc>
        <w:tc>
          <w:tcPr>
            <w:tcW w:w="2623" w:type="dxa"/>
            <w:tcBorders>
              <w:top w:val="single" w:sz="4" w:space="0" w:color="auto"/>
              <w:left w:val="single" w:sz="4" w:space="0" w:color="auto"/>
              <w:bottom w:val="single" w:sz="4" w:space="0" w:color="auto"/>
            </w:tcBorders>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899</w:t>
            </w:r>
          </w:p>
        </w:tc>
      </w:tr>
      <w:tr w:rsidR="00F93D06" w:rsidRPr="00336650" w:rsidTr="00D70B7B">
        <w:trPr>
          <w:trHeight w:val="397"/>
        </w:trPr>
        <w:tc>
          <w:tcPr>
            <w:tcW w:w="3793" w:type="dxa"/>
            <w:tcBorders>
              <w:top w:val="single" w:sz="4" w:space="0" w:color="auto"/>
              <w:bottom w:val="single" w:sz="4" w:space="0" w:color="auto"/>
              <w:right w:val="single" w:sz="4" w:space="0" w:color="auto"/>
            </w:tcBorders>
            <w:shd w:val="clear" w:color="000000" w:fill="D6DCE4"/>
            <w:noWrap/>
            <w:vAlign w:val="center"/>
            <w:hideMark/>
          </w:tcPr>
          <w:p w:rsidR="00F93D06" w:rsidRPr="00336650" w:rsidRDefault="00F93D06" w:rsidP="00F93D06">
            <w:pPr>
              <w:rPr>
                <w:rFonts w:ascii="Arial" w:hAnsi="Arial" w:cs="Arial"/>
                <w:b/>
                <w:bCs/>
                <w:color w:val="000000"/>
              </w:rPr>
            </w:pPr>
            <w:r w:rsidRPr="00336650">
              <w:rPr>
                <w:rFonts w:ascii="Arial" w:hAnsi="Arial" w:cs="Arial"/>
                <w:b/>
                <w:bCs/>
                <w:color w:val="000000"/>
              </w:rPr>
              <w:t>L3 (Jun)</w:t>
            </w:r>
          </w:p>
        </w:tc>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71</w:t>
            </w:r>
          </w:p>
        </w:tc>
        <w:tc>
          <w:tcPr>
            <w:tcW w:w="2623" w:type="dxa"/>
            <w:tcBorders>
              <w:top w:val="single" w:sz="4" w:space="0" w:color="auto"/>
              <w:left w:val="single" w:sz="4" w:space="0" w:color="auto"/>
              <w:bottom w:val="single" w:sz="4" w:space="0" w:color="auto"/>
            </w:tcBorders>
            <w:vAlign w:val="center"/>
          </w:tcPr>
          <w:p w:rsidR="00F93D06" w:rsidRPr="00336650" w:rsidRDefault="00F93D06" w:rsidP="00F93D06">
            <w:pPr>
              <w:jc w:val="center"/>
              <w:rPr>
                <w:rFonts w:ascii="Arial" w:hAnsi="Arial" w:cs="Arial"/>
                <w:bCs/>
                <w:color w:val="000000"/>
              </w:rPr>
            </w:pPr>
            <w:r w:rsidRPr="00336650">
              <w:rPr>
                <w:rFonts w:ascii="Arial" w:hAnsi="Arial" w:cs="Arial"/>
                <w:bCs/>
                <w:color w:val="000000"/>
              </w:rPr>
              <w:t>96</w:t>
            </w:r>
          </w:p>
        </w:tc>
      </w:tr>
      <w:tr w:rsidR="00F93D06" w:rsidRPr="00336650" w:rsidTr="00D70B7B">
        <w:trPr>
          <w:trHeight w:val="397"/>
        </w:trPr>
        <w:tc>
          <w:tcPr>
            <w:tcW w:w="3793" w:type="dxa"/>
            <w:tcBorders>
              <w:top w:val="single" w:sz="4" w:space="0" w:color="auto"/>
              <w:bottom w:val="single" w:sz="4" w:space="0" w:color="auto"/>
              <w:right w:val="single" w:sz="4" w:space="0" w:color="auto"/>
            </w:tcBorders>
            <w:shd w:val="clear" w:color="auto" w:fill="ACB9CA"/>
            <w:noWrap/>
            <w:vAlign w:val="center"/>
            <w:hideMark/>
          </w:tcPr>
          <w:p w:rsidR="00F93D06" w:rsidRPr="00336650" w:rsidRDefault="00F93D06" w:rsidP="00F93D06">
            <w:pPr>
              <w:rPr>
                <w:rFonts w:ascii="Arial" w:hAnsi="Arial" w:cs="Arial"/>
                <w:b/>
                <w:bCs/>
                <w:color w:val="000000"/>
              </w:rPr>
            </w:pPr>
            <w:r w:rsidRPr="00336650">
              <w:rPr>
                <w:rFonts w:ascii="Arial" w:hAnsi="Arial" w:cs="Arial"/>
                <w:b/>
                <w:bCs/>
                <w:color w:val="000000"/>
              </w:rPr>
              <w:t>TOTAL</w:t>
            </w:r>
          </w:p>
        </w:tc>
        <w:tc>
          <w:tcPr>
            <w:tcW w:w="2622" w:type="dxa"/>
            <w:tcBorders>
              <w:top w:val="single" w:sz="4" w:space="0" w:color="auto"/>
              <w:left w:val="single" w:sz="4" w:space="0" w:color="auto"/>
              <w:bottom w:val="single" w:sz="4" w:space="0" w:color="auto"/>
              <w:right w:val="single" w:sz="4" w:space="0" w:color="auto"/>
            </w:tcBorders>
            <w:shd w:val="clear" w:color="auto" w:fill="ACB9CA"/>
            <w:noWrap/>
            <w:vAlign w:val="center"/>
          </w:tcPr>
          <w:p w:rsidR="00F93D06" w:rsidRPr="00336650" w:rsidRDefault="00F93D06" w:rsidP="00F93D06">
            <w:pPr>
              <w:jc w:val="center"/>
              <w:rPr>
                <w:rFonts w:ascii="Arial" w:hAnsi="Arial" w:cs="Arial"/>
                <w:b/>
                <w:bCs/>
                <w:color w:val="000000"/>
              </w:rPr>
            </w:pPr>
            <w:r w:rsidRPr="00336650">
              <w:rPr>
                <w:rFonts w:ascii="Arial" w:hAnsi="Arial" w:cs="Arial"/>
                <w:b/>
                <w:bCs/>
                <w:color w:val="000000"/>
              </w:rPr>
              <w:t>1 572</w:t>
            </w:r>
          </w:p>
        </w:tc>
        <w:tc>
          <w:tcPr>
            <w:tcW w:w="2623" w:type="dxa"/>
            <w:tcBorders>
              <w:top w:val="single" w:sz="4" w:space="0" w:color="auto"/>
              <w:left w:val="single" w:sz="4" w:space="0" w:color="auto"/>
              <w:bottom w:val="single" w:sz="4" w:space="0" w:color="auto"/>
            </w:tcBorders>
            <w:shd w:val="clear" w:color="auto" w:fill="ACB9CA"/>
            <w:vAlign w:val="center"/>
          </w:tcPr>
          <w:p w:rsidR="00F93D06" w:rsidRPr="00336650" w:rsidRDefault="00F93D06" w:rsidP="00F93D06">
            <w:pPr>
              <w:jc w:val="center"/>
              <w:rPr>
                <w:rFonts w:ascii="Arial" w:hAnsi="Arial" w:cs="Arial"/>
                <w:b/>
                <w:bCs/>
                <w:color w:val="000000"/>
              </w:rPr>
            </w:pPr>
            <w:r w:rsidRPr="00336650">
              <w:rPr>
                <w:rFonts w:ascii="Arial" w:hAnsi="Arial" w:cs="Arial"/>
                <w:b/>
                <w:bCs/>
                <w:color w:val="000000"/>
              </w:rPr>
              <w:t>2 562</w:t>
            </w:r>
          </w:p>
        </w:tc>
      </w:tr>
      <w:tr w:rsidR="00F93D06" w:rsidRPr="00336650" w:rsidTr="001311CD">
        <w:trPr>
          <w:trHeight w:val="397"/>
        </w:trPr>
        <w:tc>
          <w:tcPr>
            <w:tcW w:w="9038" w:type="dxa"/>
            <w:gridSpan w:val="3"/>
            <w:tcBorders>
              <w:top w:val="single" w:sz="4" w:space="0" w:color="auto"/>
              <w:bottom w:val="single" w:sz="4" w:space="0" w:color="auto"/>
            </w:tcBorders>
            <w:shd w:val="clear" w:color="auto" w:fill="ACB9CA"/>
            <w:noWrap/>
            <w:vAlign w:val="center"/>
          </w:tcPr>
          <w:p w:rsidR="00F93D06" w:rsidRPr="00336650" w:rsidRDefault="00F93D06" w:rsidP="00A579C1">
            <w:pPr>
              <w:jc w:val="center"/>
              <w:rPr>
                <w:rFonts w:ascii="Arial" w:hAnsi="Arial" w:cs="Arial"/>
                <w:bCs/>
                <w:i/>
                <w:color w:val="000000"/>
              </w:rPr>
            </w:pPr>
            <w:r w:rsidRPr="00336650">
              <w:rPr>
                <w:rFonts w:ascii="Arial" w:hAnsi="Arial" w:cs="Arial"/>
                <w:bCs/>
                <w:i/>
                <w:color w:val="000000"/>
              </w:rPr>
              <w:t>Data extracted from the integrated case management system</w:t>
            </w:r>
          </w:p>
        </w:tc>
      </w:tr>
    </w:tbl>
    <w:p w:rsidR="00E82224" w:rsidRPr="00336650" w:rsidRDefault="00E82224" w:rsidP="00E82224">
      <w:pPr>
        <w:ind w:left="360"/>
        <w:rPr>
          <w:rFonts w:ascii="Arial" w:hAnsi="Arial" w:cs="Arial"/>
        </w:rPr>
      </w:pPr>
    </w:p>
    <w:p w:rsidR="00BC2A5C" w:rsidRDefault="00BC2A5C" w:rsidP="00BC2A5C">
      <w:pPr>
        <w:spacing w:line="360" w:lineRule="auto"/>
        <w:ind w:left="360"/>
        <w:rPr>
          <w:rFonts w:ascii="Arial" w:hAnsi="Arial" w:cs="Arial"/>
        </w:rPr>
      </w:pPr>
      <w:r>
        <w:rPr>
          <w:rFonts w:ascii="Arial" w:hAnsi="Arial" w:cs="Arial"/>
        </w:rPr>
        <w:t xml:space="preserve">(ii) </w:t>
      </w:r>
      <w:r w:rsidR="00225126" w:rsidRPr="00336650">
        <w:rPr>
          <w:rFonts w:ascii="Arial" w:hAnsi="Arial" w:cs="Arial"/>
        </w:rPr>
        <w:t>A breakdown of the</w:t>
      </w:r>
      <w:r w:rsidR="00373D71" w:rsidRPr="00336650">
        <w:rPr>
          <w:rFonts w:ascii="Arial" w:hAnsi="Arial" w:cs="Arial"/>
        </w:rPr>
        <w:t xml:space="preserve"> total of 1 572</w:t>
      </w:r>
      <w:r w:rsidR="00C22E1F" w:rsidRPr="00336650">
        <w:rPr>
          <w:rFonts w:ascii="Arial" w:hAnsi="Arial" w:cs="Arial"/>
        </w:rPr>
        <w:t xml:space="preserve"> </w:t>
      </w:r>
      <w:r w:rsidR="00D70B7B" w:rsidRPr="00336650">
        <w:rPr>
          <w:rFonts w:ascii="Arial" w:hAnsi="Arial" w:cs="Arial"/>
        </w:rPr>
        <w:t xml:space="preserve">convicted cases </w:t>
      </w:r>
      <w:r w:rsidR="00373D71" w:rsidRPr="00336650">
        <w:rPr>
          <w:rFonts w:ascii="Arial" w:hAnsi="Arial" w:cs="Arial"/>
        </w:rPr>
        <w:t xml:space="preserve">per </w:t>
      </w:r>
      <w:r w:rsidR="00C22E1F" w:rsidRPr="00336650">
        <w:rPr>
          <w:rFonts w:ascii="Arial" w:hAnsi="Arial" w:cs="Arial"/>
        </w:rPr>
        <w:t xml:space="preserve">contravention </w:t>
      </w:r>
      <w:r w:rsidR="00373D71" w:rsidRPr="00336650">
        <w:rPr>
          <w:rFonts w:ascii="Arial" w:hAnsi="Arial" w:cs="Arial"/>
        </w:rPr>
        <w:t>and</w:t>
      </w:r>
      <w:r w:rsidR="00C22E1F" w:rsidRPr="00336650">
        <w:rPr>
          <w:rFonts w:ascii="Arial" w:hAnsi="Arial" w:cs="Arial"/>
        </w:rPr>
        <w:t xml:space="preserve"> per Alert </w:t>
      </w:r>
    </w:p>
    <w:p w:rsidR="000D7B9E" w:rsidRPr="00336650" w:rsidRDefault="00C22E1F" w:rsidP="00BC2A5C">
      <w:pPr>
        <w:spacing w:line="360" w:lineRule="auto"/>
        <w:ind w:left="720"/>
        <w:rPr>
          <w:rFonts w:ascii="Arial" w:hAnsi="Arial" w:cs="Arial"/>
        </w:rPr>
      </w:pPr>
      <w:r w:rsidRPr="00336650">
        <w:rPr>
          <w:rFonts w:ascii="Arial" w:hAnsi="Arial" w:cs="Arial"/>
        </w:rPr>
        <w:t>Level</w:t>
      </w:r>
      <w:r w:rsidR="00373D71" w:rsidRPr="00336650">
        <w:rPr>
          <w:rFonts w:ascii="Arial" w:hAnsi="Arial" w:cs="Arial"/>
        </w:rPr>
        <w:t xml:space="preserve">, </w:t>
      </w:r>
      <w:r w:rsidR="00D70B7B" w:rsidRPr="00336650">
        <w:rPr>
          <w:rFonts w:ascii="Arial" w:hAnsi="Arial" w:cs="Arial"/>
        </w:rPr>
        <w:t>is tabulat</w:t>
      </w:r>
      <w:r w:rsidR="00225126" w:rsidRPr="00336650">
        <w:rPr>
          <w:rFonts w:ascii="Arial" w:hAnsi="Arial" w:cs="Arial"/>
        </w:rPr>
        <w:t>e</w:t>
      </w:r>
      <w:r w:rsidR="00D70B7B" w:rsidRPr="00336650">
        <w:rPr>
          <w:rFonts w:ascii="Arial" w:hAnsi="Arial" w:cs="Arial"/>
        </w:rPr>
        <w:t>d</w:t>
      </w:r>
      <w:r w:rsidR="00225126" w:rsidRPr="00336650">
        <w:rPr>
          <w:rFonts w:ascii="Arial" w:hAnsi="Arial" w:cs="Arial"/>
        </w:rPr>
        <w:t xml:space="preserve"> below</w:t>
      </w:r>
      <w:r w:rsidRPr="00336650">
        <w:rPr>
          <w:rFonts w:ascii="Arial" w:hAnsi="Arial" w:cs="Arial"/>
        </w:rPr>
        <w:t>. The majority of convict</w:t>
      </w:r>
      <w:r w:rsidR="00AD2F3A" w:rsidRPr="00336650">
        <w:rPr>
          <w:rFonts w:ascii="Arial" w:hAnsi="Arial" w:cs="Arial"/>
        </w:rPr>
        <w:t xml:space="preserve">ed cases relate to </w:t>
      </w:r>
      <w:r w:rsidRPr="00336650">
        <w:rPr>
          <w:rFonts w:ascii="Arial" w:hAnsi="Arial" w:cs="Arial"/>
        </w:rPr>
        <w:t>the failure to confine to residence during the lockdown period</w:t>
      </w:r>
      <w:r w:rsidR="00225126" w:rsidRPr="00336650">
        <w:rPr>
          <w:rFonts w:ascii="Arial" w:hAnsi="Arial" w:cs="Arial"/>
        </w:rPr>
        <w:t>:</w:t>
      </w:r>
    </w:p>
    <w:tbl>
      <w:tblPr>
        <w:tblW w:w="9346" w:type="dxa"/>
        <w:tblInd w:w="392" w:type="dxa"/>
        <w:tblLook w:val="04A0"/>
      </w:tblPr>
      <w:tblGrid>
        <w:gridCol w:w="6688"/>
        <w:gridCol w:w="1218"/>
        <w:gridCol w:w="1440"/>
      </w:tblGrid>
      <w:tr w:rsidR="00C22E1F" w:rsidRPr="00336650" w:rsidTr="00BC2A5C">
        <w:trPr>
          <w:trHeight w:val="300"/>
          <w:tblHeader/>
        </w:trPr>
        <w:tc>
          <w:tcPr>
            <w:tcW w:w="6688" w:type="dxa"/>
            <w:tcBorders>
              <w:top w:val="single" w:sz="4" w:space="0" w:color="auto"/>
              <w:left w:val="single" w:sz="4" w:space="0" w:color="auto"/>
              <w:bottom w:val="single" w:sz="4" w:space="0" w:color="8EA9DB"/>
              <w:right w:val="single" w:sz="4" w:space="0" w:color="auto"/>
            </w:tcBorders>
            <w:shd w:val="clear" w:color="auto" w:fill="44546A"/>
            <w:noWrap/>
            <w:vAlign w:val="bottom"/>
            <w:hideMark/>
          </w:tcPr>
          <w:p w:rsidR="00225126" w:rsidRPr="00336650" w:rsidRDefault="00225126" w:rsidP="00BC2A5C">
            <w:pPr>
              <w:spacing w:before="60" w:after="60"/>
              <w:rPr>
                <w:rFonts w:ascii="Arial" w:hAnsi="Arial" w:cs="Arial"/>
                <w:b/>
                <w:bCs/>
                <w:color w:val="FFFFFF"/>
              </w:rPr>
            </w:pPr>
            <w:r w:rsidRPr="00336650">
              <w:rPr>
                <w:rFonts w:ascii="Arial" w:hAnsi="Arial" w:cs="Arial"/>
                <w:b/>
                <w:bCs/>
                <w:color w:val="FFFFFF"/>
              </w:rPr>
              <w:t>ALERT LEVEL AND CONTRAVENTION</w:t>
            </w:r>
          </w:p>
        </w:tc>
        <w:tc>
          <w:tcPr>
            <w:tcW w:w="1218" w:type="dxa"/>
            <w:tcBorders>
              <w:top w:val="single" w:sz="4" w:space="0" w:color="auto"/>
              <w:left w:val="single" w:sz="4" w:space="0" w:color="auto"/>
              <w:bottom w:val="single" w:sz="4" w:space="0" w:color="8EA9DB"/>
              <w:right w:val="single" w:sz="4" w:space="0" w:color="auto"/>
            </w:tcBorders>
            <w:shd w:val="clear" w:color="auto" w:fill="44546A"/>
            <w:noWrap/>
            <w:vAlign w:val="center"/>
            <w:hideMark/>
          </w:tcPr>
          <w:p w:rsidR="00225126" w:rsidRPr="00336650" w:rsidRDefault="00225126" w:rsidP="00BC2A5C">
            <w:pPr>
              <w:spacing w:before="60" w:after="60"/>
              <w:jc w:val="center"/>
              <w:rPr>
                <w:rFonts w:ascii="Arial" w:hAnsi="Arial" w:cs="Arial"/>
                <w:b/>
                <w:bCs/>
                <w:color w:val="FFFFFF"/>
              </w:rPr>
            </w:pPr>
            <w:r w:rsidRPr="00336650">
              <w:rPr>
                <w:rFonts w:ascii="Arial" w:hAnsi="Arial" w:cs="Arial"/>
                <w:b/>
                <w:bCs/>
                <w:color w:val="FFFFFF"/>
              </w:rPr>
              <w:t>CASES</w:t>
            </w:r>
          </w:p>
        </w:tc>
        <w:tc>
          <w:tcPr>
            <w:tcW w:w="1440" w:type="dxa"/>
            <w:tcBorders>
              <w:top w:val="single" w:sz="4" w:space="0" w:color="auto"/>
              <w:left w:val="single" w:sz="4" w:space="0" w:color="auto"/>
              <w:bottom w:val="single" w:sz="4" w:space="0" w:color="8EA9DB"/>
              <w:right w:val="single" w:sz="4" w:space="0" w:color="auto"/>
            </w:tcBorders>
            <w:shd w:val="clear" w:color="auto" w:fill="44546A"/>
            <w:noWrap/>
            <w:vAlign w:val="center"/>
            <w:hideMark/>
          </w:tcPr>
          <w:p w:rsidR="00225126" w:rsidRPr="00336650" w:rsidRDefault="00225126" w:rsidP="00BC2A5C">
            <w:pPr>
              <w:spacing w:before="60" w:after="60"/>
              <w:jc w:val="center"/>
              <w:rPr>
                <w:rFonts w:ascii="Arial" w:hAnsi="Arial" w:cs="Arial"/>
                <w:b/>
                <w:bCs/>
                <w:color w:val="FFFFFF"/>
              </w:rPr>
            </w:pPr>
            <w:r w:rsidRPr="00336650">
              <w:rPr>
                <w:rFonts w:ascii="Arial" w:hAnsi="Arial" w:cs="Arial"/>
                <w:b/>
                <w:bCs/>
                <w:color w:val="FFFFFF"/>
              </w:rPr>
              <w:t>ACCUSED</w:t>
            </w:r>
          </w:p>
        </w:tc>
      </w:tr>
      <w:tr w:rsidR="00225126" w:rsidRPr="00336650" w:rsidTr="00BC2A5C">
        <w:trPr>
          <w:trHeight w:val="300"/>
        </w:trPr>
        <w:tc>
          <w:tcPr>
            <w:tcW w:w="6688" w:type="dxa"/>
            <w:tcBorders>
              <w:top w:val="nil"/>
              <w:left w:val="single" w:sz="4" w:space="0" w:color="auto"/>
              <w:bottom w:val="single" w:sz="4" w:space="0" w:color="8EA9DB"/>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b/>
                <w:bCs/>
                <w:color w:val="000000"/>
              </w:rPr>
            </w:pPr>
            <w:r w:rsidRPr="00336650">
              <w:rPr>
                <w:rFonts w:ascii="Arial" w:hAnsi="Arial" w:cs="Arial"/>
                <w:b/>
                <w:bCs/>
                <w:color w:val="000000"/>
              </w:rPr>
              <w:t>Level 3 (June)</w:t>
            </w:r>
          </w:p>
        </w:tc>
        <w:tc>
          <w:tcPr>
            <w:tcW w:w="1218" w:type="dxa"/>
            <w:tcBorders>
              <w:top w:val="nil"/>
              <w:left w:val="single" w:sz="4" w:space="0" w:color="auto"/>
              <w:bottom w:val="single" w:sz="4" w:space="0" w:color="8EA9DB"/>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71</w:t>
            </w:r>
          </w:p>
        </w:tc>
        <w:tc>
          <w:tcPr>
            <w:tcW w:w="1440" w:type="dxa"/>
            <w:tcBorders>
              <w:top w:val="nil"/>
              <w:left w:val="single" w:sz="4" w:space="0" w:color="auto"/>
              <w:bottom w:val="single" w:sz="4" w:space="0" w:color="8EA9DB"/>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96</w:t>
            </w:r>
          </w:p>
        </w:tc>
      </w:tr>
      <w:tr w:rsidR="00225126" w:rsidRPr="00336650" w:rsidTr="00BC2A5C">
        <w:trPr>
          <w:trHeight w:val="300"/>
        </w:trPr>
        <w:tc>
          <w:tcPr>
            <w:tcW w:w="6688" w:type="dxa"/>
            <w:tcBorders>
              <w:top w:val="nil"/>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 xml:space="preserve">Convening a gathering or hindering, interfering with, or obstructing an enforcement officer in the exercise of his or her powers, or the performance of his or her duties for the </w:t>
            </w:r>
            <w:r w:rsidRPr="00336650">
              <w:rPr>
                <w:rFonts w:ascii="Arial" w:hAnsi="Arial" w:cs="Arial"/>
                <w:color w:val="000000"/>
              </w:rPr>
              <w:lastRenderedPageBreak/>
              <w:t>duration of the national state of disaster in Alert Level 4</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lastRenderedPageBreak/>
              <w:t>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54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lastRenderedPageBreak/>
              <w:t xml:space="preserve">Disclosing any information contained in the COVID-19 Tracing Database or any information obtained during the duration of the national state of disaster without </w:t>
            </w:r>
            <w:r w:rsidR="00BC2A5C" w:rsidRPr="00336650">
              <w:rPr>
                <w:rFonts w:ascii="Arial" w:hAnsi="Arial" w:cs="Arial"/>
                <w:color w:val="000000"/>
              </w:rPr>
              <w:t>authority</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any business or other entity other than a business or entity involved in the manufacturing, supply, or provision of an essential good or service to cease operations during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be confined to one's place of residence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be confined to one's place of residence from 20H00 until 05H00 daily for the duration of the national state of disaster in Alert Level 4, other as permitted by law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10</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comply with a prohibition of movement between provinces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6</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confine oneself to his or her place of residence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36</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keep closed a listed place or premises normally open to the public or where people may gather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Moving between provinces, metropolitan areas and districts of the national state of disaster in Alert Level 4, other than as provided for in law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14</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Operating a commuter transport services, passenger rail services, bus services, taxi services, e-hailing services, maritime and air passenger transport contrary to Disaster Management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Operating a retail store or shopping mall during the lockdown period other than for selling essential goods and/or failure to comply with prescribed safety measures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of tobacco, tobacco products, e- cigarettes and related products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tobacco, tobacco products, e-cigarettes and related products, other than for export during the duration of the national state of disaster under Alert Level 3</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dispensing and distribution of liquor during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CB9CA"/>
            <w:noWrap/>
            <w:vAlign w:val="bottom"/>
            <w:hideMark/>
          </w:tcPr>
          <w:p w:rsidR="00225126" w:rsidRPr="00336650" w:rsidRDefault="00225126" w:rsidP="00BC2A5C">
            <w:pPr>
              <w:spacing w:before="60" w:after="60"/>
              <w:rPr>
                <w:rFonts w:ascii="Arial" w:hAnsi="Arial" w:cs="Arial"/>
                <w:b/>
                <w:bCs/>
                <w:color w:val="000000"/>
              </w:rPr>
            </w:pPr>
            <w:r w:rsidRPr="00336650">
              <w:rPr>
                <w:rFonts w:ascii="Arial" w:hAnsi="Arial" w:cs="Arial"/>
                <w:b/>
                <w:bCs/>
                <w:color w:val="000000"/>
              </w:rPr>
              <w:lastRenderedPageBreak/>
              <w:t>Level 4 (May)</w:t>
            </w:r>
          </w:p>
        </w:tc>
        <w:tc>
          <w:tcPr>
            <w:tcW w:w="1218"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591</w:t>
            </w:r>
          </w:p>
        </w:tc>
        <w:tc>
          <w:tcPr>
            <w:tcW w:w="1440" w:type="dxa"/>
            <w:tcBorders>
              <w:top w:val="single" w:sz="4" w:space="0" w:color="auto"/>
              <w:left w:val="single" w:sz="4" w:space="0" w:color="auto"/>
              <w:bottom w:val="single" w:sz="4" w:space="0" w:color="auto"/>
              <w:right w:val="single" w:sz="4" w:space="0" w:color="auto"/>
            </w:tcBorders>
            <w:shd w:val="clear" w:color="auto" w:fill="ACB9CA"/>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899</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Convene and/or attend a gathering as defined during the period of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7</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Convening a gathering in contravention of the Disaster Management Act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57</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Convening a gathering or hindering, interfering with, or obstructing an enforcement officer in the exercise of his or her powers, or the performance of his or her duties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 place not involved in the provision of essential goods or service to remain closed to all persons during the duration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6</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an electronic communications service provider to comply with a directive by the Director-General: Health to provide information for inclusion in the COVID-19 Tracing Database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any business or other entity other than a business or entity involved in the manufacturing, supply, or provision of an essential good or service to cease operations during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7</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be confined to one's place of residence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124</w:t>
            </w:r>
          </w:p>
        </w:tc>
      </w:tr>
      <w:tr w:rsidR="00225126" w:rsidRPr="00336650" w:rsidTr="00BC2A5C">
        <w:trPr>
          <w:trHeight w:val="54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 xml:space="preserve">Failure to be confined to one's place of residence from 20H00 until 05H00 daily for the duration of the national state of disaster in Alert Level 4, other as permitted by </w:t>
            </w:r>
            <w:r w:rsidR="00BC2A5C" w:rsidRPr="00336650">
              <w:rPr>
                <w:rFonts w:ascii="Arial" w:hAnsi="Arial" w:cs="Arial"/>
                <w:color w:val="000000"/>
              </w:rPr>
              <w:t>law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comply with a prohibition of movement between provinces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43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comply with a prohibition of movement between the metropolitan and district areas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confine oneself to his or her place of residence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527</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keep closed a listed place or premises normally open to the public or where people may gather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A5C" w:rsidRPr="00336650" w:rsidRDefault="00225126" w:rsidP="00BC2A5C">
            <w:pPr>
              <w:spacing w:before="60" w:after="60"/>
              <w:rPr>
                <w:rFonts w:ascii="Arial" w:hAnsi="Arial" w:cs="Arial"/>
                <w:color w:val="000000"/>
              </w:rPr>
            </w:pPr>
            <w:r w:rsidRPr="00336650">
              <w:rPr>
                <w:rFonts w:ascii="Arial" w:hAnsi="Arial" w:cs="Arial"/>
                <w:color w:val="000000"/>
              </w:rPr>
              <w:t>Issuing of special or events liquor licensing during the duration of the national state of disaster</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 xml:space="preserve">Leaving one's place of residence during the duration of the </w:t>
            </w:r>
            <w:r w:rsidRPr="00336650">
              <w:rPr>
                <w:rFonts w:ascii="Arial" w:hAnsi="Arial" w:cs="Arial"/>
                <w:color w:val="000000"/>
              </w:rPr>
              <w:lastRenderedPageBreak/>
              <w:t>national state of disaster in Alert Level 4 other than as permitted by law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lastRenderedPageBreak/>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lastRenderedPageBreak/>
              <w:t>Misrepresenting that one is or any other person is infected with COVID -19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Moving between provinces, metropolitan areas and districts of the national state of disaster in Alert Level 4, other than as provided for in law</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9</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Natural Persons: Failure to comply with request made by National Disaster Management Centre / Provincial Disaster Management Centre / Municipal Disaster Management Centre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Operating a commuter transport services, passenger rail services, bus services, taxi services, e-hailing services, maritime and air passenger transport contrary to Disaster Management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Operating a retail store or shopping mall during the lockdown period other than for selling essential goods and/or failure to comply with prescribed safety measures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10</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of tobacco, tobacco products, e- cigarettes and related products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16</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other goods by a retail store that are not permitted to be sold in terms of the Table 1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Selling, dispensing and distribution of liquor during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Transporting liquor during the duration of the national state of disaster in Alert Level 4 other than where alcohol is required for an authorised purpose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CB9CA"/>
            <w:noWrap/>
            <w:vAlign w:val="bottom"/>
            <w:hideMark/>
          </w:tcPr>
          <w:p w:rsidR="00225126" w:rsidRPr="00336650" w:rsidRDefault="00225126" w:rsidP="00BC2A5C">
            <w:pPr>
              <w:spacing w:before="60" w:after="60"/>
              <w:rPr>
                <w:rFonts w:ascii="Arial" w:hAnsi="Arial" w:cs="Arial"/>
                <w:b/>
                <w:bCs/>
                <w:color w:val="000000"/>
              </w:rPr>
            </w:pPr>
            <w:r w:rsidRPr="00336650">
              <w:rPr>
                <w:rFonts w:ascii="Arial" w:hAnsi="Arial" w:cs="Arial"/>
                <w:b/>
                <w:bCs/>
                <w:color w:val="000000"/>
              </w:rPr>
              <w:t>Level 5 (26 March - 30 April)</w:t>
            </w:r>
          </w:p>
        </w:tc>
        <w:tc>
          <w:tcPr>
            <w:tcW w:w="1218" w:type="dxa"/>
            <w:tcBorders>
              <w:top w:val="single" w:sz="4" w:space="0" w:color="auto"/>
              <w:left w:val="single" w:sz="4" w:space="0" w:color="auto"/>
              <w:bottom w:val="single" w:sz="4" w:space="0" w:color="8EA9DB"/>
              <w:right w:val="single" w:sz="4" w:space="0" w:color="auto"/>
            </w:tcBorders>
            <w:shd w:val="clear" w:color="auto" w:fill="ACB9CA"/>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910</w:t>
            </w:r>
          </w:p>
        </w:tc>
        <w:tc>
          <w:tcPr>
            <w:tcW w:w="1440" w:type="dxa"/>
            <w:tcBorders>
              <w:top w:val="single" w:sz="4" w:space="0" w:color="auto"/>
              <w:left w:val="single" w:sz="4" w:space="0" w:color="auto"/>
              <w:bottom w:val="single" w:sz="4" w:space="0" w:color="8EA9DB"/>
              <w:right w:val="single" w:sz="4" w:space="0" w:color="auto"/>
            </w:tcBorders>
            <w:shd w:val="clear" w:color="auto" w:fill="ACB9CA"/>
            <w:noWrap/>
            <w:vAlign w:val="center"/>
            <w:hideMark/>
          </w:tcPr>
          <w:p w:rsidR="00225126" w:rsidRPr="00336650" w:rsidRDefault="00225126" w:rsidP="00BC2A5C">
            <w:pPr>
              <w:spacing w:before="60" w:after="60"/>
              <w:jc w:val="center"/>
              <w:rPr>
                <w:rFonts w:ascii="Arial" w:hAnsi="Arial" w:cs="Arial"/>
                <w:b/>
                <w:bCs/>
                <w:color w:val="000000"/>
              </w:rPr>
            </w:pPr>
            <w:r w:rsidRPr="00336650">
              <w:rPr>
                <w:rFonts w:ascii="Arial" w:hAnsi="Arial" w:cs="Arial"/>
                <w:b/>
                <w:bCs/>
                <w:color w:val="000000"/>
              </w:rPr>
              <w:t>1 567</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Convene and/or attend a gathering as defined during the period of lockdown</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Convening a gathering in contravention of the Disaster Management Act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234</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Corporation(s)/Firm(s) : Failure to comply with request made by National Disaster Management Centre / Provincial Disaster Management Centre / Municipal Disaster Management Centre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lastRenderedPageBreak/>
              <w:t>Evicting a person(s) from his/her/their formal or informal residence or a farm dwelling place of residence during the lockdown period</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 place not involved in the provision of essential goods or service to remain closed to all persons during the duration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an electronic communications service provider to comply with a directive by the Director-General: Health to provide information for inclusion in the COVID-19 Tracing Database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336650" w:rsidRPr="00336650" w:rsidTr="00BC2A5C">
        <w:trPr>
          <w:trHeight w:val="300"/>
        </w:trPr>
        <w:tc>
          <w:tcPr>
            <w:tcW w:w="6688" w:type="dxa"/>
            <w:vMerge w:val="restart"/>
            <w:tcBorders>
              <w:top w:val="single" w:sz="4" w:space="0" w:color="auto"/>
              <w:left w:val="single" w:sz="4" w:space="0" w:color="auto"/>
              <w:right w:val="single" w:sz="4" w:space="0" w:color="auto"/>
            </w:tcBorders>
            <w:shd w:val="clear" w:color="auto" w:fill="auto"/>
            <w:noWrap/>
            <w:vAlign w:val="bottom"/>
            <w:hideMark/>
          </w:tcPr>
          <w:p w:rsidR="00336650" w:rsidRPr="00336650" w:rsidRDefault="00336650" w:rsidP="00BC2A5C">
            <w:pPr>
              <w:spacing w:before="60" w:after="60"/>
              <w:rPr>
                <w:rFonts w:ascii="Arial" w:hAnsi="Arial" w:cs="Arial"/>
                <w:color w:val="000000"/>
              </w:rPr>
            </w:pPr>
            <w:r w:rsidRPr="00336650">
              <w:rPr>
                <w:rFonts w:ascii="Arial" w:hAnsi="Arial" w:cs="Arial"/>
                <w:color w:val="000000"/>
              </w:rPr>
              <w:t>Failure by any business or other entity other than a business or entity involved in the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50" w:rsidRPr="00336650" w:rsidRDefault="00336650" w:rsidP="00BC2A5C">
            <w:pPr>
              <w:spacing w:before="60" w:after="60"/>
              <w:jc w:val="center"/>
              <w:rPr>
                <w:rFonts w:ascii="Arial" w:hAnsi="Arial" w:cs="Arial"/>
                <w:color w:val="000000"/>
              </w:rPr>
            </w:pPr>
            <w:r w:rsidRPr="00336650">
              <w:rPr>
                <w:rFonts w:ascii="Arial" w:hAnsi="Arial" w:cs="Arial"/>
                <w:color w:val="000000"/>
              </w:rPr>
              <w:t>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50" w:rsidRPr="00336650" w:rsidRDefault="00336650" w:rsidP="00BC2A5C">
            <w:pPr>
              <w:spacing w:before="60" w:after="60"/>
              <w:jc w:val="center"/>
              <w:rPr>
                <w:rFonts w:ascii="Arial" w:hAnsi="Arial" w:cs="Arial"/>
                <w:color w:val="000000"/>
              </w:rPr>
            </w:pPr>
            <w:r w:rsidRPr="00336650">
              <w:rPr>
                <w:rFonts w:ascii="Arial" w:hAnsi="Arial" w:cs="Arial"/>
                <w:color w:val="000000"/>
              </w:rPr>
              <w:t>22</w:t>
            </w:r>
          </w:p>
        </w:tc>
      </w:tr>
      <w:tr w:rsidR="00336650" w:rsidRPr="00336650" w:rsidTr="00BC2A5C">
        <w:tc>
          <w:tcPr>
            <w:tcW w:w="6688" w:type="dxa"/>
            <w:vMerge/>
            <w:tcBorders>
              <w:left w:val="single" w:sz="4" w:space="0" w:color="auto"/>
              <w:bottom w:val="single" w:sz="4" w:space="0" w:color="auto"/>
              <w:right w:val="single" w:sz="4" w:space="0" w:color="auto"/>
            </w:tcBorders>
            <w:shd w:val="clear" w:color="auto" w:fill="auto"/>
            <w:noWrap/>
            <w:vAlign w:val="bottom"/>
          </w:tcPr>
          <w:p w:rsidR="00336650" w:rsidRPr="00336650" w:rsidRDefault="00336650" w:rsidP="00BC2A5C">
            <w:pPr>
              <w:spacing w:before="60" w:after="60"/>
              <w:rPr>
                <w:rFonts w:ascii="Arial" w:hAnsi="Arial" w:cs="Arial"/>
                <w:color w:val="000000"/>
              </w:rPr>
            </w:pP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650" w:rsidRPr="00336650" w:rsidRDefault="00336650" w:rsidP="00BC2A5C">
            <w:pPr>
              <w:spacing w:before="60" w:after="60"/>
              <w:jc w:val="cente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650" w:rsidRPr="00336650" w:rsidRDefault="00336650" w:rsidP="00BC2A5C">
            <w:pPr>
              <w:spacing w:before="60" w:after="60"/>
              <w:jc w:val="center"/>
              <w:rPr>
                <w:rFonts w:ascii="Arial" w:hAnsi="Arial" w:cs="Arial"/>
                <w:color w:val="000000"/>
              </w:rPr>
            </w:pPr>
          </w:p>
        </w:tc>
      </w:tr>
      <w:tr w:rsidR="00336650" w:rsidRPr="00336650" w:rsidTr="00BC2A5C">
        <w:trPr>
          <w:trHeight w:val="472"/>
        </w:trPr>
        <w:tc>
          <w:tcPr>
            <w:tcW w:w="6688" w:type="dxa"/>
            <w:tcBorders>
              <w:top w:val="single" w:sz="4" w:space="0" w:color="auto"/>
              <w:left w:val="single" w:sz="4" w:space="0" w:color="auto"/>
              <w:bottom w:val="nil"/>
              <w:right w:val="single" w:sz="4" w:space="0" w:color="auto"/>
            </w:tcBorders>
            <w:shd w:val="clear" w:color="auto" w:fill="auto"/>
            <w:noWrap/>
            <w:vAlign w:val="bottom"/>
          </w:tcPr>
          <w:p w:rsidR="00336650" w:rsidRPr="00336650" w:rsidRDefault="00336650" w:rsidP="00BC2A5C">
            <w:pPr>
              <w:spacing w:before="60" w:after="60"/>
              <w:rPr>
                <w:rFonts w:ascii="Arial" w:hAnsi="Arial" w:cs="Arial"/>
                <w:color w:val="000000"/>
              </w:rPr>
            </w:pPr>
            <w:r w:rsidRPr="00336650">
              <w:rPr>
                <w:rFonts w:ascii="Arial" w:hAnsi="Arial" w:cs="Arial"/>
                <w:color w:val="000000"/>
              </w:rPr>
              <w:t xml:space="preserve"> manufacturing, supply, or provision of an essential good or service to cease operations during the lockdown</w:t>
            </w:r>
          </w:p>
        </w:tc>
        <w:tc>
          <w:tcPr>
            <w:tcW w:w="1218" w:type="dxa"/>
            <w:tcBorders>
              <w:top w:val="single" w:sz="4" w:space="0" w:color="auto"/>
              <w:left w:val="single" w:sz="4" w:space="0" w:color="auto"/>
              <w:bottom w:val="nil"/>
              <w:right w:val="single" w:sz="4" w:space="0" w:color="auto"/>
            </w:tcBorders>
            <w:shd w:val="clear" w:color="auto" w:fill="auto"/>
            <w:noWrap/>
            <w:vAlign w:val="center"/>
          </w:tcPr>
          <w:p w:rsidR="00336650" w:rsidRPr="00336650" w:rsidRDefault="00336650" w:rsidP="00BC2A5C">
            <w:pPr>
              <w:spacing w:before="60" w:after="60"/>
              <w:jc w:val="center"/>
              <w:rPr>
                <w:rFonts w:ascii="Arial" w:hAnsi="Arial" w:cs="Arial"/>
                <w:color w:val="000000"/>
              </w:rPr>
            </w:pPr>
          </w:p>
        </w:tc>
        <w:tc>
          <w:tcPr>
            <w:tcW w:w="1440" w:type="dxa"/>
            <w:tcBorders>
              <w:top w:val="single" w:sz="4" w:space="0" w:color="auto"/>
              <w:left w:val="single" w:sz="4" w:space="0" w:color="auto"/>
              <w:bottom w:val="nil"/>
              <w:right w:val="single" w:sz="4" w:space="0" w:color="auto"/>
            </w:tcBorders>
            <w:shd w:val="clear" w:color="auto" w:fill="auto"/>
            <w:noWrap/>
            <w:vAlign w:val="center"/>
          </w:tcPr>
          <w:p w:rsidR="00336650" w:rsidRPr="00336650" w:rsidRDefault="00336650" w:rsidP="00BC2A5C">
            <w:pPr>
              <w:spacing w:before="60" w:after="60"/>
              <w:jc w:val="center"/>
              <w:rPr>
                <w:rFonts w:ascii="Arial" w:hAnsi="Arial" w:cs="Arial"/>
                <w:color w:val="000000"/>
              </w:rPr>
            </w:pP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by premises selling liquor which provide accommodation to implement measures to stop the spread of COVID-19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be confined to one's place of residence for the duration of the national state of disaster in Alert Level 4</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 xml:space="preserve">Failure to close a place or premises normally open to the public where religious, cultural, sporting, entertainment. recreational, exhibitional, organisational or similar activities may take place, during the duration of the national state of disaster in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comply with a prohibition of movement between provinces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comply with a prohibition of movement between the metropolitan and district areas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10</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Failure to confine oneself to his or her place of residence during the period of the lockdown</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750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1 215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Misrepresentation of own or any persons infected status with COVID-19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Natural Persons: Failure to comply with request made by National Disaster Management Centre / Provincial Disaster Management Centre / Municipal Disaster Management Centre</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 xml:space="preserve">Operating a commuter transport services, passenger rail </w:t>
            </w:r>
            <w:r w:rsidRPr="00336650">
              <w:rPr>
                <w:rFonts w:ascii="Arial" w:hAnsi="Arial" w:cs="Arial"/>
                <w:color w:val="000000"/>
              </w:rPr>
              <w:lastRenderedPageBreak/>
              <w:t>services, bus services, taxi services, e-hailing services, maritime and air passenger transport contrary to Disaster Management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lastRenderedPageBreak/>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5</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lastRenderedPageBreak/>
              <w:t>Operating a retail store or shopping mall during the lockdown period other than for selling essential goods and/or failure to comply with prescribed safety measures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31</w:t>
            </w:r>
          </w:p>
        </w:tc>
      </w:tr>
      <w:tr w:rsidR="00225126" w:rsidRPr="00336650" w:rsidTr="00BC2A5C">
        <w:trPr>
          <w:trHeight w:val="300"/>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26" w:rsidRPr="00336650" w:rsidRDefault="00225126" w:rsidP="00BC2A5C">
            <w:pPr>
              <w:spacing w:before="60" w:after="60"/>
              <w:rPr>
                <w:rFonts w:ascii="Arial" w:hAnsi="Arial" w:cs="Arial"/>
                <w:color w:val="000000"/>
              </w:rPr>
            </w:pPr>
            <w:r w:rsidRPr="00336650">
              <w:rPr>
                <w:rFonts w:ascii="Arial" w:hAnsi="Arial" w:cs="Arial"/>
                <w:color w:val="000000"/>
              </w:rPr>
              <w:t>Permitting more than 50 persons at premises where liquor is sold and consumed in contravention of the Disaster Management Act Regulations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126" w:rsidRPr="00336650" w:rsidRDefault="00225126" w:rsidP="00BC2A5C">
            <w:pPr>
              <w:spacing w:before="60" w:after="60"/>
              <w:jc w:val="center"/>
              <w:rPr>
                <w:rFonts w:ascii="Arial" w:hAnsi="Arial" w:cs="Arial"/>
                <w:color w:val="000000"/>
              </w:rPr>
            </w:pPr>
            <w:r w:rsidRPr="00336650">
              <w:rPr>
                <w:rFonts w:ascii="Arial" w:hAnsi="Arial" w:cs="Arial"/>
                <w:color w:val="000000"/>
              </w:rPr>
              <w:t>1</w:t>
            </w:r>
          </w:p>
        </w:tc>
      </w:tr>
    </w:tbl>
    <w:p w:rsidR="00225126" w:rsidRPr="00336650" w:rsidRDefault="00225126" w:rsidP="00F93D06">
      <w:pPr>
        <w:spacing w:line="360" w:lineRule="auto"/>
        <w:ind w:left="360"/>
        <w:rPr>
          <w:rFonts w:ascii="Arial" w:hAnsi="Arial" w:cs="Arial"/>
        </w:rPr>
      </w:pPr>
    </w:p>
    <w:p w:rsidR="001311CD" w:rsidRPr="00336650" w:rsidRDefault="00BC2A5C" w:rsidP="00BC2A5C">
      <w:pPr>
        <w:spacing w:line="360" w:lineRule="auto"/>
        <w:ind w:left="360"/>
        <w:rPr>
          <w:rFonts w:ascii="Arial" w:hAnsi="Arial" w:cs="Arial"/>
        </w:rPr>
      </w:pPr>
      <w:r>
        <w:rPr>
          <w:rFonts w:ascii="Arial" w:hAnsi="Arial" w:cs="Arial"/>
        </w:rPr>
        <w:t xml:space="preserve">(iii) </w:t>
      </w:r>
      <w:r w:rsidR="00D83710" w:rsidRPr="00336650">
        <w:rPr>
          <w:rFonts w:ascii="Arial" w:hAnsi="Arial" w:cs="Arial"/>
        </w:rPr>
        <w:t>The</w:t>
      </w:r>
      <w:r w:rsidR="008F27BB" w:rsidRPr="00336650">
        <w:rPr>
          <w:rFonts w:ascii="Arial" w:hAnsi="Arial" w:cs="Arial"/>
        </w:rPr>
        <w:t xml:space="preserve"> courts imposed the following sentences</w:t>
      </w:r>
      <w:r w:rsidR="008F3306" w:rsidRPr="00336650">
        <w:rPr>
          <w:rFonts w:ascii="Arial" w:hAnsi="Arial" w:cs="Arial"/>
        </w:rPr>
        <w:t xml:space="preserve"> in the </w:t>
      </w:r>
      <w:r w:rsidR="001311CD" w:rsidRPr="00336650">
        <w:rPr>
          <w:rFonts w:ascii="Arial" w:hAnsi="Arial" w:cs="Arial"/>
        </w:rPr>
        <w:t xml:space="preserve">1 572 </w:t>
      </w:r>
      <w:r w:rsidR="002A202A" w:rsidRPr="00336650">
        <w:rPr>
          <w:rFonts w:ascii="Arial" w:hAnsi="Arial" w:cs="Arial"/>
        </w:rPr>
        <w:t xml:space="preserve">convicted </w:t>
      </w:r>
      <w:r w:rsidR="001311CD" w:rsidRPr="00336650">
        <w:rPr>
          <w:rFonts w:ascii="Arial" w:hAnsi="Arial" w:cs="Arial"/>
        </w:rPr>
        <w:t>cases</w:t>
      </w:r>
      <w:r w:rsidR="008F27BB" w:rsidRPr="00336650">
        <w:rPr>
          <w:rFonts w:ascii="Arial" w:hAnsi="Arial" w:cs="Arial"/>
        </w:rPr>
        <w:t>:</w:t>
      </w:r>
    </w:p>
    <w:tbl>
      <w:tblPr>
        <w:tblW w:w="6804" w:type="dxa"/>
        <w:tblInd w:w="392" w:type="dxa"/>
        <w:tblLook w:val="04A0"/>
      </w:tblPr>
      <w:tblGrid>
        <w:gridCol w:w="3538"/>
        <w:gridCol w:w="3266"/>
      </w:tblGrid>
      <w:tr w:rsidR="001311CD" w:rsidRPr="00336650" w:rsidTr="00A579C1">
        <w:trPr>
          <w:trHeight w:val="675"/>
          <w:tblHeader/>
        </w:trPr>
        <w:tc>
          <w:tcPr>
            <w:tcW w:w="3538" w:type="dxa"/>
            <w:tcBorders>
              <w:top w:val="single" w:sz="8" w:space="0" w:color="808080"/>
              <w:left w:val="single" w:sz="8" w:space="0" w:color="808080"/>
              <w:bottom w:val="single" w:sz="4" w:space="0" w:color="808080"/>
              <w:right w:val="single" w:sz="4" w:space="0" w:color="808080"/>
            </w:tcBorders>
            <w:shd w:val="clear" w:color="auto" w:fill="44546A"/>
            <w:noWrap/>
            <w:vAlign w:val="bottom"/>
            <w:hideMark/>
          </w:tcPr>
          <w:p w:rsidR="001311CD" w:rsidRPr="00336650" w:rsidRDefault="001311CD" w:rsidP="001311CD">
            <w:pPr>
              <w:rPr>
                <w:rFonts w:ascii="Arial" w:hAnsi="Arial" w:cs="Arial"/>
                <w:b/>
                <w:bCs/>
                <w:color w:val="FFFFFF"/>
              </w:rPr>
            </w:pPr>
            <w:r w:rsidRPr="00336650">
              <w:rPr>
                <w:rFonts w:ascii="Arial" w:hAnsi="Arial" w:cs="Arial"/>
                <w:b/>
                <w:bCs/>
                <w:color w:val="FFFFFF"/>
              </w:rPr>
              <w:t>Alert Level</w:t>
            </w:r>
            <w:r w:rsidR="006D1FDF" w:rsidRPr="00336650">
              <w:rPr>
                <w:rFonts w:ascii="Arial" w:hAnsi="Arial" w:cs="Arial"/>
                <w:b/>
                <w:bCs/>
                <w:color w:val="FFFFFF"/>
              </w:rPr>
              <w:t xml:space="preserve"> and Sentence</w:t>
            </w:r>
          </w:p>
        </w:tc>
        <w:tc>
          <w:tcPr>
            <w:tcW w:w="3266" w:type="dxa"/>
            <w:tcBorders>
              <w:top w:val="single" w:sz="8" w:space="0" w:color="808080"/>
              <w:left w:val="single" w:sz="4" w:space="0" w:color="808080"/>
              <w:bottom w:val="single" w:sz="4" w:space="0" w:color="808080"/>
              <w:right w:val="single" w:sz="8" w:space="0" w:color="808080"/>
            </w:tcBorders>
            <w:shd w:val="clear" w:color="auto" w:fill="44546A"/>
            <w:noWrap/>
            <w:vAlign w:val="bottom"/>
            <w:hideMark/>
          </w:tcPr>
          <w:p w:rsidR="001311CD" w:rsidRPr="00336650" w:rsidRDefault="001311CD" w:rsidP="006D1FDF">
            <w:pPr>
              <w:jc w:val="center"/>
              <w:rPr>
                <w:rFonts w:ascii="Arial" w:hAnsi="Arial" w:cs="Arial"/>
                <w:b/>
                <w:bCs/>
                <w:color w:val="FFFFFF"/>
              </w:rPr>
            </w:pPr>
            <w:r w:rsidRPr="00336650">
              <w:rPr>
                <w:rFonts w:ascii="Arial" w:hAnsi="Arial" w:cs="Arial"/>
                <w:b/>
                <w:bCs/>
                <w:color w:val="FFFFFF"/>
              </w:rPr>
              <w:t>Total Cases</w:t>
            </w:r>
          </w:p>
        </w:tc>
      </w:tr>
      <w:tr w:rsidR="001311CD" w:rsidRPr="00336650" w:rsidTr="00A579C1">
        <w:trPr>
          <w:trHeight w:val="345"/>
        </w:trPr>
        <w:tc>
          <w:tcPr>
            <w:tcW w:w="3538" w:type="dxa"/>
            <w:tcBorders>
              <w:top w:val="single" w:sz="4" w:space="0" w:color="808080"/>
              <w:left w:val="single" w:sz="8" w:space="0" w:color="808080"/>
              <w:bottom w:val="single" w:sz="4" w:space="0" w:color="808080"/>
              <w:right w:val="single" w:sz="4" w:space="0" w:color="808080"/>
            </w:tcBorders>
            <w:shd w:val="clear" w:color="auto" w:fill="ACB9CA"/>
            <w:noWrap/>
            <w:vAlign w:val="bottom"/>
            <w:hideMark/>
          </w:tcPr>
          <w:p w:rsidR="001311CD" w:rsidRPr="00336650" w:rsidRDefault="001311CD" w:rsidP="001311CD">
            <w:pPr>
              <w:rPr>
                <w:rFonts w:ascii="Arial" w:hAnsi="Arial" w:cs="Arial"/>
                <w:b/>
                <w:bCs/>
                <w:color w:val="000000"/>
              </w:rPr>
            </w:pPr>
            <w:r w:rsidRPr="00336650">
              <w:rPr>
                <w:rFonts w:ascii="Arial" w:hAnsi="Arial" w:cs="Arial"/>
                <w:b/>
                <w:bCs/>
                <w:color w:val="000000"/>
              </w:rPr>
              <w:t>Level 3 (June)</w:t>
            </w:r>
          </w:p>
        </w:tc>
        <w:tc>
          <w:tcPr>
            <w:tcW w:w="3266" w:type="dxa"/>
            <w:tcBorders>
              <w:top w:val="single" w:sz="4" w:space="0" w:color="808080"/>
              <w:left w:val="single" w:sz="4" w:space="0" w:color="808080"/>
              <w:bottom w:val="single" w:sz="4" w:space="0" w:color="808080"/>
              <w:right w:val="single" w:sz="8" w:space="0" w:color="808080"/>
            </w:tcBorders>
            <w:shd w:val="clear" w:color="auto" w:fill="ACB9CA"/>
            <w:noWrap/>
            <w:vAlign w:val="bottom"/>
            <w:hideMark/>
          </w:tcPr>
          <w:p w:rsidR="001311CD" w:rsidRPr="00336650" w:rsidRDefault="001311CD" w:rsidP="006D1FDF">
            <w:pPr>
              <w:jc w:val="center"/>
              <w:rPr>
                <w:rFonts w:ascii="Arial" w:hAnsi="Arial" w:cs="Arial"/>
                <w:b/>
                <w:bCs/>
                <w:color w:val="000000"/>
              </w:rPr>
            </w:pPr>
            <w:r w:rsidRPr="00336650">
              <w:rPr>
                <w:rFonts w:ascii="Arial" w:hAnsi="Arial" w:cs="Arial"/>
                <w:b/>
                <w:bCs/>
                <w:color w:val="000000"/>
              </w:rPr>
              <w:t>71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Cautioned</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7</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Court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36</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Deferred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7</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Fine Option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14</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Imprisonment</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3</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Suspended Wholly</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4</w:t>
            </w:r>
          </w:p>
        </w:tc>
      </w:tr>
      <w:tr w:rsidR="001311CD" w:rsidRPr="00336650" w:rsidTr="00A579C1">
        <w:trPr>
          <w:trHeight w:val="300"/>
        </w:trPr>
        <w:tc>
          <w:tcPr>
            <w:tcW w:w="3538" w:type="dxa"/>
            <w:tcBorders>
              <w:top w:val="single" w:sz="4" w:space="0" w:color="808080"/>
              <w:left w:val="single" w:sz="8" w:space="0" w:color="808080"/>
              <w:bottom w:val="single" w:sz="4" w:space="0" w:color="808080"/>
              <w:right w:val="single" w:sz="4" w:space="0" w:color="808080"/>
            </w:tcBorders>
            <w:shd w:val="clear" w:color="auto" w:fill="ACB9CA"/>
            <w:noWrap/>
            <w:vAlign w:val="bottom"/>
            <w:hideMark/>
          </w:tcPr>
          <w:p w:rsidR="001311CD" w:rsidRPr="00336650" w:rsidRDefault="001311CD" w:rsidP="001311CD">
            <w:pPr>
              <w:rPr>
                <w:rFonts w:ascii="Arial" w:hAnsi="Arial" w:cs="Arial"/>
                <w:b/>
                <w:bCs/>
                <w:color w:val="000000"/>
              </w:rPr>
            </w:pPr>
            <w:r w:rsidRPr="00336650">
              <w:rPr>
                <w:rFonts w:ascii="Arial" w:hAnsi="Arial" w:cs="Arial"/>
                <w:b/>
                <w:bCs/>
                <w:color w:val="000000"/>
              </w:rPr>
              <w:t>Level 4 (May)</w:t>
            </w:r>
          </w:p>
        </w:tc>
        <w:tc>
          <w:tcPr>
            <w:tcW w:w="3266" w:type="dxa"/>
            <w:tcBorders>
              <w:top w:val="single" w:sz="4" w:space="0" w:color="808080"/>
              <w:left w:val="single" w:sz="4" w:space="0" w:color="808080"/>
              <w:bottom w:val="single" w:sz="4" w:space="0" w:color="808080"/>
              <w:right w:val="single" w:sz="8" w:space="0" w:color="808080"/>
            </w:tcBorders>
            <w:shd w:val="clear" w:color="auto" w:fill="ACB9CA"/>
            <w:noWrap/>
            <w:vAlign w:val="bottom"/>
            <w:hideMark/>
          </w:tcPr>
          <w:p w:rsidR="001311CD" w:rsidRPr="00336650" w:rsidRDefault="001311CD" w:rsidP="006D1FDF">
            <w:pPr>
              <w:jc w:val="center"/>
              <w:rPr>
                <w:rFonts w:ascii="Arial" w:hAnsi="Arial" w:cs="Arial"/>
                <w:b/>
                <w:bCs/>
                <w:color w:val="000000"/>
              </w:rPr>
            </w:pPr>
            <w:r w:rsidRPr="00336650">
              <w:rPr>
                <w:rFonts w:ascii="Arial" w:hAnsi="Arial" w:cs="Arial"/>
                <w:b/>
                <w:bCs/>
                <w:color w:val="000000"/>
              </w:rPr>
              <w:t>591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Cautioned</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58</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Correctional Supervision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Court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94</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Deferred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92</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Diversion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Fine Option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202</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Imprisonment</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24</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Sentence Postponed</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3</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Suspended Partially</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3</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Suspended Wholly</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113</w:t>
            </w:r>
          </w:p>
        </w:tc>
      </w:tr>
      <w:tr w:rsidR="001311CD" w:rsidRPr="00336650" w:rsidTr="00A579C1">
        <w:trPr>
          <w:trHeight w:val="300"/>
        </w:trPr>
        <w:tc>
          <w:tcPr>
            <w:tcW w:w="3538" w:type="dxa"/>
            <w:tcBorders>
              <w:top w:val="single" w:sz="4" w:space="0" w:color="808080"/>
              <w:left w:val="single" w:sz="8" w:space="0" w:color="808080"/>
              <w:bottom w:val="single" w:sz="4" w:space="0" w:color="808080"/>
              <w:right w:val="single" w:sz="4" w:space="0" w:color="808080"/>
            </w:tcBorders>
            <w:shd w:val="clear" w:color="auto" w:fill="ACB9CA"/>
            <w:noWrap/>
            <w:vAlign w:val="bottom"/>
            <w:hideMark/>
          </w:tcPr>
          <w:p w:rsidR="001311CD" w:rsidRPr="00336650" w:rsidRDefault="001311CD" w:rsidP="001311CD">
            <w:pPr>
              <w:rPr>
                <w:rFonts w:ascii="Arial" w:hAnsi="Arial" w:cs="Arial"/>
                <w:b/>
                <w:bCs/>
                <w:color w:val="000000"/>
              </w:rPr>
            </w:pPr>
            <w:r w:rsidRPr="00336650">
              <w:rPr>
                <w:rFonts w:ascii="Arial" w:hAnsi="Arial" w:cs="Arial"/>
                <w:b/>
                <w:bCs/>
                <w:color w:val="000000"/>
              </w:rPr>
              <w:t>Level 5 (26 March - 30 April)</w:t>
            </w:r>
          </w:p>
        </w:tc>
        <w:tc>
          <w:tcPr>
            <w:tcW w:w="3266" w:type="dxa"/>
            <w:tcBorders>
              <w:top w:val="single" w:sz="4" w:space="0" w:color="808080"/>
              <w:left w:val="single" w:sz="4" w:space="0" w:color="808080"/>
              <w:bottom w:val="single" w:sz="4" w:space="0" w:color="808080"/>
              <w:right w:val="single" w:sz="8" w:space="0" w:color="808080"/>
            </w:tcBorders>
            <w:shd w:val="clear" w:color="auto" w:fill="ACB9CA"/>
            <w:noWrap/>
            <w:vAlign w:val="bottom"/>
            <w:hideMark/>
          </w:tcPr>
          <w:p w:rsidR="001311CD" w:rsidRPr="00336650" w:rsidRDefault="001311CD" w:rsidP="006D1FDF">
            <w:pPr>
              <w:jc w:val="center"/>
              <w:rPr>
                <w:rFonts w:ascii="Arial" w:hAnsi="Arial" w:cs="Arial"/>
                <w:b/>
                <w:bCs/>
                <w:color w:val="000000"/>
              </w:rPr>
            </w:pPr>
            <w:r w:rsidRPr="00336650">
              <w:rPr>
                <w:rFonts w:ascii="Arial" w:hAnsi="Arial" w:cs="Arial"/>
                <w:b/>
                <w:bCs/>
                <w:color w:val="000000"/>
              </w:rPr>
              <w:t>910</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Cautioned</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118</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Community Service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Court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141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Deferred Fine</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91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Diversion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Fine Option</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319</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Habitual Criminal</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lastRenderedPageBreak/>
              <w:t>Imprisonment</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61</w:t>
            </w:r>
          </w:p>
        </w:tc>
      </w:tr>
      <w:tr w:rsidR="001311CD" w:rsidRPr="00336650" w:rsidTr="006D1FDF">
        <w:trPr>
          <w:trHeight w:val="315"/>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Suspended Partially</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9</w:t>
            </w:r>
          </w:p>
        </w:tc>
      </w:tr>
      <w:tr w:rsidR="001311CD" w:rsidRPr="00336650" w:rsidTr="006D1FDF">
        <w:trPr>
          <w:trHeight w:val="300"/>
        </w:trPr>
        <w:tc>
          <w:tcPr>
            <w:tcW w:w="3538" w:type="dxa"/>
            <w:tcBorders>
              <w:top w:val="nil"/>
              <w:left w:val="single" w:sz="8" w:space="0" w:color="808080"/>
              <w:bottom w:val="single" w:sz="4" w:space="0" w:color="808080"/>
              <w:right w:val="single" w:sz="4" w:space="0" w:color="808080"/>
            </w:tcBorders>
            <w:shd w:val="clear" w:color="auto" w:fill="auto"/>
            <w:noWrap/>
            <w:vAlign w:val="bottom"/>
            <w:hideMark/>
          </w:tcPr>
          <w:p w:rsidR="001311CD" w:rsidRPr="00336650" w:rsidRDefault="001311CD" w:rsidP="006D1FDF">
            <w:pPr>
              <w:ind w:firstLineChars="100" w:firstLine="240"/>
              <w:jc w:val="right"/>
              <w:rPr>
                <w:rFonts w:ascii="Arial" w:hAnsi="Arial" w:cs="Arial"/>
                <w:color w:val="000000"/>
              </w:rPr>
            </w:pPr>
            <w:r w:rsidRPr="00336650">
              <w:rPr>
                <w:rFonts w:ascii="Arial" w:hAnsi="Arial" w:cs="Arial"/>
                <w:color w:val="000000"/>
              </w:rPr>
              <w:t>Suspended Wholly</w:t>
            </w:r>
          </w:p>
        </w:tc>
        <w:tc>
          <w:tcPr>
            <w:tcW w:w="3266" w:type="dxa"/>
            <w:tcBorders>
              <w:top w:val="nil"/>
              <w:left w:val="nil"/>
              <w:bottom w:val="single" w:sz="4" w:space="0" w:color="808080"/>
              <w:right w:val="single" w:sz="8" w:space="0" w:color="808080"/>
            </w:tcBorders>
            <w:shd w:val="clear" w:color="auto" w:fill="auto"/>
            <w:noWrap/>
            <w:vAlign w:val="bottom"/>
            <w:hideMark/>
          </w:tcPr>
          <w:p w:rsidR="001311CD" w:rsidRPr="00336650" w:rsidRDefault="001311CD" w:rsidP="006D1FDF">
            <w:pPr>
              <w:jc w:val="center"/>
              <w:rPr>
                <w:rFonts w:ascii="Arial" w:hAnsi="Arial" w:cs="Arial"/>
                <w:color w:val="000000"/>
              </w:rPr>
            </w:pPr>
            <w:r w:rsidRPr="00336650">
              <w:rPr>
                <w:rFonts w:ascii="Arial" w:hAnsi="Arial" w:cs="Arial"/>
                <w:color w:val="000000"/>
              </w:rPr>
              <w:t>168</w:t>
            </w:r>
          </w:p>
        </w:tc>
      </w:tr>
      <w:tr w:rsidR="001311CD" w:rsidRPr="00336650" w:rsidTr="00A579C1">
        <w:trPr>
          <w:trHeight w:val="315"/>
        </w:trPr>
        <w:tc>
          <w:tcPr>
            <w:tcW w:w="3538" w:type="dxa"/>
            <w:tcBorders>
              <w:top w:val="single" w:sz="4" w:space="0" w:color="808080"/>
              <w:left w:val="single" w:sz="8" w:space="0" w:color="808080"/>
              <w:bottom w:val="single" w:sz="8" w:space="0" w:color="808080"/>
              <w:right w:val="single" w:sz="4" w:space="0" w:color="808080"/>
            </w:tcBorders>
            <w:shd w:val="clear" w:color="auto" w:fill="44546A"/>
            <w:noWrap/>
            <w:vAlign w:val="bottom"/>
            <w:hideMark/>
          </w:tcPr>
          <w:p w:rsidR="001311CD" w:rsidRPr="00336650" w:rsidRDefault="001311CD" w:rsidP="001311CD">
            <w:pPr>
              <w:rPr>
                <w:rFonts w:ascii="Arial" w:hAnsi="Arial" w:cs="Arial"/>
                <w:b/>
                <w:bCs/>
                <w:color w:val="FFFFFF"/>
              </w:rPr>
            </w:pPr>
            <w:r w:rsidRPr="00336650">
              <w:rPr>
                <w:rFonts w:ascii="Arial" w:hAnsi="Arial" w:cs="Arial"/>
                <w:b/>
                <w:bCs/>
                <w:color w:val="FFFFFF"/>
              </w:rPr>
              <w:t>Total</w:t>
            </w:r>
          </w:p>
        </w:tc>
        <w:tc>
          <w:tcPr>
            <w:tcW w:w="3266" w:type="dxa"/>
            <w:tcBorders>
              <w:top w:val="single" w:sz="4" w:space="0" w:color="808080"/>
              <w:left w:val="single" w:sz="4" w:space="0" w:color="808080"/>
              <w:bottom w:val="single" w:sz="8" w:space="0" w:color="808080"/>
              <w:right w:val="single" w:sz="8" w:space="0" w:color="808080"/>
            </w:tcBorders>
            <w:shd w:val="clear" w:color="auto" w:fill="44546A"/>
            <w:noWrap/>
            <w:vAlign w:val="bottom"/>
            <w:hideMark/>
          </w:tcPr>
          <w:p w:rsidR="001311CD" w:rsidRPr="00336650" w:rsidRDefault="001311CD" w:rsidP="006D1FDF">
            <w:pPr>
              <w:jc w:val="center"/>
              <w:rPr>
                <w:rFonts w:ascii="Arial" w:hAnsi="Arial" w:cs="Arial"/>
                <w:b/>
                <w:bCs/>
                <w:color w:val="FFFFFF"/>
              </w:rPr>
            </w:pPr>
            <w:r w:rsidRPr="00336650">
              <w:rPr>
                <w:rFonts w:ascii="Arial" w:hAnsi="Arial" w:cs="Arial"/>
                <w:b/>
                <w:bCs/>
                <w:color w:val="FFFFFF"/>
              </w:rPr>
              <w:t>1 5</w:t>
            </w:r>
            <w:r w:rsidR="006D1FDF" w:rsidRPr="00336650">
              <w:rPr>
                <w:rFonts w:ascii="Arial" w:hAnsi="Arial" w:cs="Arial"/>
                <w:b/>
                <w:bCs/>
                <w:color w:val="FFFFFF"/>
              </w:rPr>
              <w:t>72</w:t>
            </w:r>
          </w:p>
        </w:tc>
      </w:tr>
    </w:tbl>
    <w:p w:rsidR="001311CD" w:rsidRDefault="001311CD" w:rsidP="00F93D06">
      <w:pPr>
        <w:spacing w:line="360" w:lineRule="auto"/>
        <w:ind w:left="360"/>
        <w:rPr>
          <w:rFonts w:ascii="Arial" w:hAnsi="Arial" w:cs="Arial"/>
        </w:rPr>
      </w:pPr>
    </w:p>
    <w:p w:rsidR="001311CD" w:rsidRDefault="001311CD" w:rsidP="00F93D06">
      <w:pPr>
        <w:spacing w:line="360" w:lineRule="auto"/>
        <w:ind w:left="360"/>
        <w:rPr>
          <w:rFonts w:ascii="Arial" w:hAnsi="Arial" w:cs="Arial"/>
        </w:rPr>
      </w:pPr>
    </w:p>
    <w:p w:rsidR="000D7B9E" w:rsidRPr="005C12B0" w:rsidRDefault="005C12B0" w:rsidP="001311CD">
      <w:pPr>
        <w:spacing w:line="360" w:lineRule="auto"/>
        <w:rPr>
          <w:rFonts w:ascii="Arial" w:hAnsi="Arial" w:cs="Arial"/>
          <w:b/>
        </w:rPr>
      </w:pPr>
      <w:r w:rsidRPr="005C12B0">
        <w:rPr>
          <w:rFonts w:ascii="Arial" w:hAnsi="Arial" w:cs="Arial"/>
          <w:b/>
        </w:rPr>
        <w:t>END</w:t>
      </w:r>
    </w:p>
    <w:sectPr w:rsidR="000D7B9E" w:rsidRPr="005C12B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0DA" w:rsidRDefault="006950DA" w:rsidP="00913892">
      <w:r>
        <w:separator/>
      </w:r>
    </w:p>
  </w:endnote>
  <w:endnote w:type="continuationSeparator" w:id="1">
    <w:p w:rsidR="006950DA" w:rsidRDefault="006950D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80233" w:rsidRPr="0068023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0DA" w:rsidRDefault="006950DA" w:rsidP="00913892">
      <w:r>
        <w:separator/>
      </w:r>
    </w:p>
  </w:footnote>
  <w:footnote w:type="continuationSeparator" w:id="1">
    <w:p w:rsidR="006950DA" w:rsidRDefault="006950D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C3E063D"/>
    <w:multiLevelType w:val="hybridMultilevel"/>
    <w:tmpl w:val="EB00156E"/>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EF91666"/>
    <w:multiLevelType w:val="hybridMultilevel"/>
    <w:tmpl w:val="6CDA6402"/>
    <w:lvl w:ilvl="0" w:tplc="AD40FF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C966004"/>
    <w:multiLevelType w:val="hybridMultilevel"/>
    <w:tmpl w:val="0FC2F870"/>
    <w:lvl w:ilvl="0" w:tplc="FFE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6"/>
  </w:num>
  <w:num w:numId="5">
    <w:abstractNumId w:val="34"/>
  </w:num>
  <w:num w:numId="6">
    <w:abstractNumId w:val="4"/>
  </w:num>
  <w:num w:numId="7">
    <w:abstractNumId w:val="42"/>
  </w:num>
  <w:num w:numId="8">
    <w:abstractNumId w:val="11"/>
  </w:num>
  <w:num w:numId="9">
    <w:abstractNumId w:val="18"/>
  </w:num>
  <w:num w:numId="10">
    <w:abstractNumId w:val="37"/>
  </w:num>
  <w:num w:numId="11">
    <w:abstractNumId w:val="3"/>
  </w:num>
  <w:num w:numId="12">
    <w:abstractNumId w:val="24"/>
  </w:num>
  <w:num w:numId="13">
    <w:abstractNumId w:val="16"/>
  </w:num>
  <w:num w:numId="14">
    <w:abstractNumId w:val="19"/>
  </w:num>
  <w:num w:numId="15">
    <w:abstractNumId w:val="10"/>
  </w:num>
  <w:num w:numId="16">
    <w:abstractNumId w:val="17"/>
  </w:num>
  <w:num w:numId="17">
    <w:abstractNumId w:val="40"/>
  </w:num>
  <w:num w:numId="18">
    <w:abstractNumId w:val="25"/>
  </w:num>
  <w:num w:numId="19">
    <w:abstractNumId w:val="21"/>
  </w:num>
  <w:num w:numId="20">
    <w:abstractNumId w:val="39"/>
  </w:num>
  <w:num w:numId="21">
    <w:abstractNumId w:val="29"/>
  </w:num>
  <w:num w:numId="22">
    <w:abstractNumId w:val="30"/>
  </w:num>
  <w:num w:numId="23">
    <w:abstractNumId w:val="9"/>
  </w:num>
  <w:num w:numId="24">
    <w:abstractNumId w:val="31"/>
  </w:num>
  <w:num w:numId="25">
    <w:abstractNumId w:val="6"/>
  </w:num>
  <w:num w:numId="26">
    <w:abstractNumId w:val="8"/>
  </w:num>
  <w:num w:numId="27">
    <w:abstractNumId w:val="27"/>
  </w:num>
  <w:num w:numId="28">
    <w:abstractNumId w:val="41"/>
  </w:num>
  <w:num w:numId="29">
    <w:abstractNumId w:val="7"/>
  </w:num>
  <w:num w:numId="30">
    <w:abstractNumId w:val="12"/>
  </w:num>
  <w:num w:numId="31">
    <w:abstractNumId w:val="2"/>
  </w:num>
  <w:num w:numId="32">
    <w:abstractNumId w:val="13"/>
  </w:num>
  <w:num w:numId="33">
    <w:abstractNumId w:val="20"/>
  </w:num>
  <w:num w:numId="34">
    <w:abstractNumId w:val="38"/>
  </w:num>
  <w:num w:numId="35">
    <w:abstractNumId w:val="43"/>
  </w:num>
  <w:num w:numId="36">
    <w:abstractNumId w:val="35"/>
  </w:num>
  <w:num w:numId="37">
    <w:abstractNumId w:val="32"/>
  </w:num>
  <w:num w:numId="38">
    <w:abstractNumId w:val="36"/>
  </w:num>
  <w:num w:numId="39">
    <w:abstractNumId w:val="33"/>
  </w:num>
  <w:num w:numId="40">
    <w:abstractNumId w:val="1"/>
  </w:num>
  <w:num w:numId="41">
    <w:abstractNumId w:val="22"/>
  </w:num>
  <w:num w:numId="42">
    <w:abstractNumId w:val="14"/>
  </w:num>
  <w:num w:numId="43">
    <w:abstractNumId w:val="28"/>
  </w:num>
  <w:num w:numId="44">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26EC0"/>
    <w:rsid w:val="00030927"/>
    <w:rsid w:val="000338F0"/>
    <w:rsid w:val="00035CE5"/>
    <w:rsid w:val="0004105D"/>
    <w:rsid w:val="0004190C"/>
    <w:rsid w:val="00046588"/>
    <w:rsid w:val="00052CE2"/>
    <w:rsid w:val="00065979"/>
    <w:rsid w:val="00070401"/>
    <w:rsid w:val="0007147A"/>
    <w:rsid w:val="00072E1B"/>
    <w:rsid w:val="0007655F"/>
    <w:rsid w:val="00080B73"/>
    <w:rsid w:val="00095B8E"/>
    <w:rsid w:val="000A3DA5"/>
    <w:rsid w:val="000B5E45"/>
    <w:rsid w:val="000C01D4"/>
    <w:rsid w:val="000D3B70"/>
    <w:rsid w:val="000D4F57"/>
    <w:rsid w:val="000D7B9E"/>
    <w:rsid w:val="000E2337"/>
    <w:rsid w:val="000E6772"/>
    <w:rsid w:val="000E7085"/>
    <w:rsid w:val="000E76BA"/>
    <w:rsid w:val="000F24EB"/>
    <w:rsid w:val="00105174"/>
    <w:rsid w:val="00110B8F"/>
    <w:rsid w:val="00120775"/>
    <w:rsid w:val="00130BDB"/>
    <w:rsid w:val="001311CD"/>
    <w:rsid w:val="001314B9"/>
    <w:rsid w:val="00133072"/>
    <w:rsid w:val="00134C16"/>
    <w:rsid w:val="001354F5"/>
    <w:rsid w:val="00144111"/>
    <w:rsid w:val="00156483"/>
    <w:rsid w:val="001669F5"/>
    <w:rsid w:val="001702F2"/>
    <w:rsid w:val="00173403"/>
    <w:rsid w:val="001774BC"/>
    <w:rsid w:val="001848C4"/>
    <w:rsid w:val="00192D26"/>
    <w:rsid w:val="00194B05"/>
    <w:rsid w:val="001A6D2A"/>
    <w:rsid w:val="001B00F0"/>
    <w:rsid w:val="001D2E53"/>
    <w:rsid w:val="001D4F07"/>
    <w:rsid w:val="001E1BE7"/>
    <w:rsid w:val="001F41F3"/>
    <w:rsid w:val="001F445E"/>
    <w:rsid w:val="00203F6A"/>
    <w:rsid w:val="00213182"/>
    <w:rsid w:val="0021549B"/>
    <w:rsid w:val="0021581C"/>
    <w:rsid w:val="00216A40"/>
    <w:rsid w:val="00225126"/>
    <w:rsid w:val="002269FD"/>
    <w:rsid w:val="00262ACE"/>
    <w:rsid w:val="00281574"/>
    <w:rsid w:val="002857B6"/>
    <w:rsid w:val="00286311"/>
    <w:rsid w:val="00291065"/>
    <w:rsid w:val="002A0DB1"/>
    <w:rsid w:val="002A202A"/>
    <w:rsid w:val="002B2B31"/>
    <w:rsid w:val="002B6D18"/>
    <w:rsid w:val="002C719B"/>
    <w:rsid w:val="002D5BF7"/>
    <w:rsid w:val="002D7BBD"/>
    <w:rsid w:val="002E7253"/>
    <w:rsid w:val="002F22DD"/>
    <w:rsid w:val="0031652F"/>
    <w:rsid w:val="00322BA4"/>
    <w:rsid w:val="00336650"/>
    <w:rsid w:val="003401CA"/>
    <w:rsid w:val="00346942"/>
    <w:rsid w:val="00351448"/>
    <w:rsid w:val="00351A89"/>
    <w:rsid w:val="0037187E"/>
    <w:rsid w:val="00373D71"/>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244B"/>
    <w:rsid w:val="004572CE"/>
    <w:rsid w:val="00465448"/>
    <w:rsid w:val="00465A51"/>
    <w:rsid w:val="004926BD"/>
    <w:rsid w:val="0049460A"/>
    <w:rsid w:val="004B6B6B"/>
    <w:rsid w:val="004E7CD4"/>
    <w:rsid w:val="004F6FEC"/>
    <w:rsid w:val="00502868"/>
    <w:rsid w:val="00515B6A"/>
    <w:rsid w:val="005160F8"/>
    <w:rsid w:val="0054211D"/>
    <w:rsid w:val="005454FB"/>
    <w:rsid w:val="00553B28"/>
    <w:rsid w:val="005601A1"/>
    <w:rsid w:val="00571E41"/>
    <w:rsid w:val="00572F09"/>
    <w:rsid w:val="005772C1"/>
    <w:rsid w:val="005835BC"/>
    <w:rsid w:val="00583EAC"/>
    <w:rsid w:val="005856A7"/>
    <w:rsid w:val="00585897"/>
    <w:rsid w:val="00595C80"/>
    <w:rsid w:val="005A42CF"/>
    <w:rsid w:val="005B6209"/>
    <w:rsid w:val="005C12B0"/>
    <w:rsid w:val="005D1EEF"/>
    <w:rsid w:val="005E312D"/>
    <w:rsid w:val="005E365A"/>
    <w:rsid w:val="005E6378"/>
    <w:rsid w:val="005E6608"/>
    <w:rsid w:val="00612214"/>
    <w:rsid w:val="00625CD7"/>
    <w:rsid w:val="00630932"/>
    <w:rsid w:val="006336F6"/>
    <w:rsid w:val="00653FE5"/>
    <w:rsid w:val="00661BE2"/>
    <w:rsid w:val="00670788"/>
    <w:rsid w:val="0067545A"/>
    <w:rsid w:val="00680233"/>
    <w:rsid w:val="006818CE"/>
    <w:rsid w:val="006950DA"/>
    <w:rsid w:val="006959E4"/>
    <w:rsid w:val="006A2BAE"/>
    <w:rsid w:val="006B0F80"/>
    <w:rsid w:val="006C0567"/>
    <w:rsid w:val="006D1FDF"/>
    <w:rsid w:val="006D21F9"/>
    <w:rsid w:val="006D7E71"/>
    <w:rsid w:val="006F1417"/>
    <w:rsid w:val="006F2454"/>
    <w:rsid w:val="006F63D7"/>
    <w:rsid w:val="00717920"/>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E6925"/>
    <w:rsid w:val="007E6DEE"/>
    <w:rsid w:val="007E7201"/>
    <w:rsid w:val="007F1643"/>
    <w:rsid w:val="007F2B0B"/>
    <w:rsid w:val="007F3217"/>
    <w:rsid w:val="008054E4"/>
    <w:rsid w:val="008169B8"/>
    <w:rsid w:val="00846897"/>
    <w:rsid w:val="00865132"/>
    <w:rsid w:val="008769EF"/>
    <w:rsid w:val="00881381"/>
    <w:rsid w:val="00886676"/>
    <w:rsid w:val="00892846"/>
    <w:rsid w:val="008A1398"/>
    <w:rsid w:val="008A1837"/>
    <w:rsid w:val="008B1BCF"/>
    <w:rsid w:val="008C0DA7"/>
    <w:rsid w:val="008C1A56"/>
    <w:rsid w:val="008C3ADD"/>
    <w:rsid w:val="008D355A"/>
    <w:rsid w:val="008D4373"/>
    <w:rsid w:val="008E312C"/>
    <w:rsid w:val="008E78E6"/>
    <w:rsid w:val="008F27BB"/>
    <w:rsid w:val="008F3306"/>
    <w:rsid w:val="008F366F"/>
    <w:rsid w:val="008F6A5A"/>
    <w:rsid w:val="009025C1"/>
    <w:rsid w:val="00905C38"/>
    <w:rsid w:val="00911E50"/>
    <w:rsid w:val="00913892"/>
    <w:rsid w:val="0092193B"/>
    <w:rsid w:val="009227DF"/>
    <w:rsid w:val="009229AD"/>
    <w:rsid w:val="0094372F"/>
    <w:rsid w:val="009541F2"/>
    <w:rsid w:val="009551F2"/>
    <w:rsid w:val="00973033"/>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579C1"/>
    <w:rsid w:val="00A600B3"/>
    <w:rsid w:val="00A623F2"/>
    <w:rsid w:val="00A64328"/>
    <w:rsid w:val="00A6432A"/>
    <w:rsid w:val="00A66729"/>
    <w:rsid w:val="00A70AFC"/>
    <w:rsid w:val="00A7136B"/>
    <w:rsid w:val="00AA2AB0"/>
    <w:rsid w:val="00AA39AC"/>
    <w:rsid w:val="00AD05BA"/>
    <w:rsid w:val="00AD2F3A"/>
    <w:rsid w:val="00AD7B7A"/>
    <w:rsid w:val="00AF0F1A"/>
    <w:rsid w:val="00AF5D91"/>
    <w:rsid w:val="00AF6818"/>
    <w:rsid w:val="00B021CE"/>
    <w:rsid w:val="00B13369"/>
    <w:rsid w:val="00B170EA"/>
    <w:rsid w:val="00B20FF8"/>
    <w:rsid w:val="00B2270E"/>
    <w:rsid w:val="00B26AB3"/>
    <w:rsid w:val="00B35A7B"/>
    <w:rsid w:val="00B40A2F"/>
    <w:rsid w:val="00B46E62"/>
    <w:rsid w:val="00B47264"/>
    <w:rsid w:val="00B553A6"/>
    <w:rsid w:val="00B6102A"/>
    <w:rsid w:val="00B8345D"/>
    <w:rsid w:val="00B958BA"/>
    <w:rsid w:val="00BA3361"/>
    <w:rsid w:val="00BA3A67"/>
    <w:rsid w:val="00BA61AF"/>
    <w:rsid w:val="00BB53A8"/>
    <w:rsid w:val="00BB7991"/>
    <w:rsid w:val="00BC1021"/>
    <w:rsid w:val="00BC2A5C"/>
    <w:rsid w:val="00BC7AFB"/>
    <w:rsid w:val="00BD597B"/>
    <w:rsid w:val="00BD6D36"/>
    <w:rsid w:val="00BF0672"/>
    <w:rsid w:val="00BF0809"/>
    <w:rsid w:val="00BF738D"/>
    <w:rsid w:val="00C10ACD"/>
    <w:rsid w:val="00C15423"/>
    <w:rsid w:val="00C22E1F"/>
    <w:rsid w:val="00C31057"/>
    <w:rsid w:val="00C331B7"/>
    <w:rsid w:val="00C360AA"/>
    <w:rsid w:val="00C3772F"/>
    <w:rsid w:val="00C41A50"/>
    <w:rsid w:val="00C51D93"/>
    <w:rsid w:val="00C52410"/>
    <w:rsid w:val="00C549DD"/>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0942"/>
    <w:rsid w:val="00CF1B81"/>
    <w:rsid w:val="00D209A0"/>
    <w:rsid w:val="00D222F0"/>
    <w:rsid w:val="00D24750"/>
    <w:rsid w:val="00D3067D"/>
    <w:rsid w:val="00D41538"/>
    <w:rsid w:val="00D463C8"/>
    <w:rsid w:val="00D50C5D"/>
    <w:rsid w:val="00D56B43"/>
    <w:rsid w:val="00D6158A"/>
    <w:rsid w:val="00D61D1E"/>
    <w:rsid w:val="00D70B7B"/>
    <w:rsid w:val="00D74CDB"/>
    <w:rsid w:val="00D764A0"/>
    <w:rsid w:val="00D76DA7"/>
    <w:rsid w:val="00D80139"/>
    <w:rsid w:val="00D83710"/>
    <w:rsid w:val="00D86669"/>
    <w:rsid w:val="00D86E52"/>
    <w:rsid w:val="00D93903"/>
    <w:rsid w:val="00DA495F"/>
    <w:rsid w:val="00DB11B2"/>
    <w:rsid w:val="00DC255C"/>
    <w:rsid w:val="00DC592F"/>
    <w:rsid w:val="00DC7CDA"/>
    <w:rsid w:val="00DE1284"/>
    <w:rsid w:val="00DF2638"/>
    <w:rsid w:val="00E1080E"/>
    <w:rsid w:val="00E160A1"/>
    <w:rsid w:val="00E17F42"/>
    <w:rsid w:val="00E21A66"/>
    <w:rsid w:val="00E30F9B"/>
    <w:rsid w:val="00E361D7"/>
    <w:rsid w:val="00E44AFC"/>
    <w:rsid w:val="00E55AFD"/>
    <w:rsid w:val="00E82224"/>
    <w:rsid w:val="00EA4D5C"/>
    <w:rsid w:val="00EA53D2"/>
    <w:rsid w:val="00EA7A64"/>
    <w:rsid w:val="00EB54FA"/>
    <w:rsid w:val="00EB5C9A"/>
    <w:rsid w:val="00EC5379"/>
    <w:rsid w:val="00ED072E"/>
    <w:rsid w:val="00ED5CF6"/>
    <w:rsid w:val="00EE1177"/>
    <w:rsid w:val="00EE31A6"/>
    <w:rsid w:val="00EE6AD6"/>
    <w:rsid w:val="00EF081C"/>
    <w:rsid w:val="00EF2E4B"/>
    <w:rsid w:val="00EF32C9"/>
    <w:rsid w:val="00F14F05"/>
    <w:rsid w:val="00F20EAD"/>
    <w:rsid w:val="00F220CD"/>
    <w:rsid w:val="00F26B86"/>
    <w:rsid w:val="00F31805"/>
    <w:rsid w:val="00F3487E"/>
    <w:rsid w:val="00F36003"/>
    <w:rsid w:val="00F400F2"/>
    <w:rsid w:val="00F475A6"/>
    <w:rsid w:val="00F5419D"/>
    <w:rsid w:val="00F55344"/>
    <w:rsid w:val="00F55893"/>
    <w:rsid w:val="00F63F57"/>
    <w:rsid w:val="00F646C9"/>
    <w:rsid w:val="00F739F4"/>
    <w:rsid w:val="00F845F2"/>
    <w:rsid w:val="00F86709"/>
    <w:rsid w:val="00F91926"/>
    <w:rsid w:val="00F93D0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01298062">
      <w:bodyDiv w:val="1"/>
      <w:marLeft w:val="0"/>
      <w:marRight w:val="0"/>
      <w:marTop w:val="0"/>
      <w:marBottom w:val="0"/>
      <w:divBdr>
        <w:top w:val="none" w:sz="0" w:space="0" w:color="auto"/>
        <w:left w:val="none" w:sz="0" w:space="0" w:color="auto"/>
        <w:bottom w:val="none" w:sz="0" w:space="0" w:color="auto"/>
        <w:right w:val="none" w:sz="0" w:space="0" w:color="auto"/>
      </w:divBdr>
    </w:div>
    <w:div w:id="101276030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20438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2020-08-12T11:39:00Z</dcterms:created>
  <dcterms:modified xsi:type="dcterms:W3CDTF">2020-08-12T11:39:00Z</dcterms:modified>
</cp:coreProperties>
</file>