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F3543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F35432" w:rsidP="00F3543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F35432" w:rsidP="00F3543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>QUESTION</w:t>
      </w:r>
      <w:r>
        <w:rPr>
          <w:rFonts w:ascii="Arial" w:eastAsia="Calibri" w:hAnsi="Arial" w:cs="Arial"/>
          <w:b/>
          <w:bCs/>
          <w:lang w:val="en-GB"/>
        </w:rPr>
        <w:t xml:space="preserve"> NO: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 </w:t>
      </w:r>
      <w:r w:rsidR="00130BDB">
        <w:rPr>
          <w:rFonts w:ascii="Arial" w:eastAsia="Calibri" w:hAnsi="Arial" w:cs="Arial"/>
          <w:b/>
          <w:bCs/>
          <w:lang w:val="en-GB"/>
        </w:rPr>
        <w:t>1446</w:t>
      </w:r>
    </w:p>
    <w:p w:rsidR="00130BDB" w:rsidRPr="00F35432" w:rsidRDefault="00130BDB" w:rsidP="00F3543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35432">
        <w:rPr>
          <w:rFonts w:ascii="Arial" w:eastAsia="Calibri" w:hAnsi="Arial" w:cs="Arial"/>
          <w:b/>
          <w:bCs/>
          <w:lang w:val="en-GB"/>
        </w:rPr>
        <w:t>DATE OF QUESTION: 08</w:t>
      </w:r>
      <w:r w:rsidR="00F35432" w:rsidRPr="00F35432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F35432">
        <w:rPr>
          <w:rFonts w:ascii="Arial" w:eastAsia="Calibri" w:hAnsi="Arial" w:cs="Arial"/>
          <w:b/>
          <w:bCs/>
          <w:lang w:val="en-GB"/>
        </w:rPr>
        <w:t>2019</w:t>
      </w:r>
    </w:p>
    <w:p w:rsidR="00130BDB" w:rsidRPr="00F35432" w:rsidRDefault="00130BDB" w:rsidP="00F35432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F35432">
        <w:rPr>
          <w:rFonts w:ascii="Arial" w:eastAsia="Calibri" w:hAnsi="Arial" w:cs="Arial"/>
          <w:b/>
          <w:bCs/>
          <w:lang w:val="en-GB"/>
        </w:rPr>
        <w:t>DATE OF SUBMISSION: 22 NOVEMBER 2019</w:t>
      </w:r>
    </w:p>
    <w:p w:rsidR="00130BDB" w:rsidRPr="00130BDB" w:rsidRDefault="00130BDB" w:rsidP="00130BDB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130BDB">
        <w:rPr>
          <w:rFonts w:ascii="Arial" w:hAnsi="Arial" w:cs="Arial"/>
          <w:b/>
          <w:bCs/>
          <w:lang w:val="en-ZA"/>
        </w:rPr>
        <w:t>Mr G Magwanishe (ANC) to ask the Minister of Justice and Correctional Services</w:t>
      </w:r>
      <w:r w:rsidRPr="00130BDB">
        <w:rPr>
          <w:rFonts w:ascii="Arial" w:hAnsi="Arial" w:cs="Arial"/>
          <w:b/>
          <w:bCs/>
          <w:lang w:val="en-ZA"/>
        </w:rPr>
        <w:fldChar w:fldCharType="begin"/>
      </w:r>
      <w:r w:rsidRPr="00130BDB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130BDB">
        <w:rPr>
          <w:rFonts w:ascii="Arial" w:hAnsi="Arial" w:cs="Arial"/>
          <w:b/>
          <w:bCs/>
          <w:lang w:val="en-ZA"/>
        </w:rPr>
        <w:fldChar w:fldCharType="end"/>
      </w:r>
      <w:r w:rsidRPr="00130BDB">
        <w:rPr>
          <w:rFonts w:ascii="Arial" w:hAnsi="Arial" w:cs="Arial"/>
          <w:b/>
          <w:bCs/>
          <w:lang w:val="en-ZA"/>
        </w:rPr>
        <w:t>:[</w:t>
      </w:r>
      <w:r w:rsidRPr="00130BDB">
        <w:rPr>
          <w:rFonts w:ascii="Arial" w:hAnsi="Arial" w:cs="Arial"/>
          <w:b/>
          <w:bCs/>
          <w:lang w:val="en-ZA"/>
        </w:rPr>
        <w:sym w:font="Wingdings 2" w:char="F0EA"/>
      </w:r>
      <w:r w:rsidRPr="00130BDB">
        <w:rPr>
          <w:rFonts w:ascii="Arial" w:hAnsi="Arial" w:cs="Arial"/>
          <w:b/>
          <w:bCs/>
          <w:lang w:val="en-ZA"/>
        </w:rPr>
        <w:t>216] [Question submitted for oral reply now placed for written reply because it is in excess of quota (Rule 137(8)]</w:t>
      </w:r>
    </w:p>
    <w:p w:rsidR="00130BDB" w:rsidRDefault="00130BDB" w:rsidP="00130BDB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0E6772">
        <w:rPr>
          <w:rFonts w:ascii="Arial" w:hAnsi="Arial" w:cs="Arial"/>
          <w:lang w:val="en-ZA"/>
        </w:rPr>
        <w:t>What steps has he taken to (a) transform the briefing patterns to include briefs of African women legal practitioners and (b) promote gender equity in the legal profession and judiciary</w:t>
      </w:r>
      <w:r>
        <w:rPr>
          <w:rFonts w:ascii="Arial" w:hAnsi="Arial" w:cs="Arial"/>
          <w:lang w:val="en-ZA"/>
        </w:rPr>
        <w:t>?</w:t>
      </w:r>
    </w:p>
    <w:p w:rsidR="005D1EEF" w:rsidRDefault="00130BDB" w:rsidP="00130BD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130BDB">
        <w:rPr>
          <w:rFonts w:ascii="Arial" w:hAnsi="Arial" w:cs="Arial"/>
          <w:b/>
          <w:lang w:val="en-ZA"/>
        </w:rPr>
        <w:t>NW2685E</w:t>
      </w:r>
    </w:p>
    <w:p w:rsidR="00130BDB" w:rsidRPr="00FE5DBA" w:rsidRDefault="00130BDB" w:rsidP="00130BD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B07539" w:rsidRPr="00EF709D" w:rsidRDefault="00B07539" w:rsidP="00B07539">
      <w:pPr>
        <w:spacing w:before="120" w:after="120" w:line="360" w:lineRule="auto"/>
        <w:rPr>
          <w:rFonts w:ascii="Arial" w:hAnsi="Arial" w:cs="Arial"/>
          <w:b/>
        </w:rPr>
      </w:pPr>
    </w:p>
    <w:p w:rsidR="000363D2" w:rsidRDefault="00AA0855" w:rsidP="00AA0855">
      <w:pPr>
        <w:pStyle w:val="ListParagraph"/>
        <w:numPr>
          <w:ilvl w:val="0"/>
          <w:numId w:val="38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From the statistics kept by the Department</w:t>
      </w:r>
      <w:r w:rsidR="00B07539" w:rsidRPr="00EF709D">
        <w:rPr>
          <w:rFonts w:ascii="Arial" w:hAnsi="Arial" w:cs="Arial"/>
          <w:lang w:val="en-ZA"/>
        </w:rPr>
        <w:t xml:space="preserve"> female counsel briefed</w:t>
      </w:r>
      <w:r w:rsidR="00A136A6">
        <w:rPr>
          <w:rFonts w:ascii="Arial" w:hAnsi="Arial" w:cs="Arial"/>
          <w:lang w:val="en-ZA"/>
        </w:rPr>
        <w:t xml:space="preserve"> by the Offices of the State Attorney during the last few years,</w:t>
      </w:r>
      <w:r w:rsidR="00B07539" w:rsidRPr="00EF709D">
        <w:rPr>
          <w:rFonts w:ascii="Arial" w:hAnsi="Arial" w:cs="Arial"/>
          <w:lang w:val="en-ZA"/>
        </w:rPr>
        <w:t xml:space="preserve"> African female counsel rank high for the past financi</w:t>
      </w:r>
      <w:r w:rsidR="000363D2">
        <w:rPr>
          <w:rFonts w:ascii="Arial" w:hAnsi="Arial" w:cs="Arial"/>
          <w:lang w:val="en-ZA"/>
        </w:rPr>
        <w:t xml:space="preserve">al years, namely: </w:t>
      </w:r>
    </w:p>
    <w:p w:rsidR="000363D2" w:rsidRDefault="000363D2" w:rsidP="009C18AB">
      <w:pPr>
        <w:pStyle w:val="ListParagraph"/>
        <w:numPr>
          <w:ilvl w:val="0"/>
          <w:numId w:val="36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From the total number of 2 386 of briefs allocated to f</w:t>
      </w:r>
      <w:r w:rsidR="009C18AB">
        <w:rPr>
          <w:rFonts w:ascii="Arial" w:hAnsi="Arial" w:cs="Arial"/>
          <w:lang w:val="en-ZA"/>
        </w:rPr>
        <w:t>emale</w:t>
      </w:r>
      <w:r>
        <w:rPr>
          <w:rFonts w:ascii="Arial" w:hAnsi="Arial" w:cs="Arial"/>
          <w:lang w:val="en-ZA"/>
        </w:rPr>
        <w:t xml:space="preserve"> counsel during 2017/18, 1 427</w:t>
      </w:r>
      <w:r w:rsidR="00B07539">
        <w:rPr>
          <w:rFonts w:ascii="Arial" w:hAnsi="Arial" w:cs="Arial"/>
          <w:lang w:val="en-ZA"/>
        </w:rPr>
        <w:t xml:space="preserve"> </w:t>
      </w:r>
      <w:r w:rsidR="009C18AB">
        <w:rPr>
          <w:rFonts w:ascii="Arial" w:hAnsi="Arial" w:cs="Arial"/>
          <w:lang w:val="en-ZA"/>
        </w:rPr>
        <w:t xml:space="preserve">briefs </w:t>
      </w:r>
      <w:r>
        <w:rPr>
          <w:rFonts w:ascii="Arial" w:hAnsi="Arial" w:cs="Arial"/>
          <w:lang w:val="en-ZA"/>
        </w:rPr>
        <w:t xml:space="preserve">were allocated to African females; </w:t>
      </w:r>
      <w:r w:rsidR="00B07539">
        <w:rPr>
          <w:rFonts w:ascii="Arial" w:hAnsi="Arial" w:cs="Arial"/>
          <w:lang w:val="en-ZA"/>
        </w:rPr>
        <w:t xml:space="preserve"> </w:t>
      </w:r>
    </w:p>
    <w:p w:rsidR="000363D2" w:rsidRDefault="000363D2" w:rsidP="009C18AB">
      <w:pPr>
        <w:pStyle w:val="ListParagraph"/>
        <w:numPr>
          <w:ilvl w:val="0"/>
          <w:numId w:val="36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From the total number of 2 109 of briefs allocated </w:t>
      </w:r>
      <w:r w:rsidR="009C18AB">
        <w:rPr>
          <w:rFonts w:ascii="Arial" w:hAnsi="Arial" w:cs="Arial"/>
          <w:lang w:val="en-ZA"/>
        </w:rPr>
        <w:t>to female</w:t>
      </w:r>
      <w:r>
        <w:rPr>
          <w:rFonts w:ascii="Arial" w:hAnsi="Arial" w:cs="Arial"/>
          <w:lang w:val="en-ZA"/>
        </w:rPr>
        <w:t xml:space="preserve"> counsel during 2018/19, 1 233</w:t>
      </w:r>
      <w:r w:rsidR="00B07539" w:rsidRPr="00EF709D">
        <w:rPr>
          <w:rFonts w:ascii="Arial" w:hAnsi="Arial" w:cs="Arial"/>
          <w:lang w:val="en-ZA"/>
        </w:rPr>
        <w:t xml:space="preserve"> </w:t>
      </w:r>
      <w:r w:rsidR="009C18AB">
        <w:rPr>
          <w:rFonts w:ascii="Arial" w:hAnsi="Arial" w:cs="Arial"/>
          <w:lang w:val="en-ZA"/>
        </w:rPr>
        <w:t xml:space="preserve">briefs </w:t>
      </w:r>
      <w:r>
        <w:rPr>
          <w:rFonts w:ascii="Arial" w:hAnsi="Arial" w:cs="Arial"/>
          <w:lang w:val="en-ZA"/>
        </w:rPr>
        <w:t>were allocated to African females</w:t>
      </w:r>
      <w:r w:rsidR="009C18AB">
        <w:rPr>
          <w:rFonts w:ascii="Arial" w:hAnsi="Arial" w:cs="Arial"/>
          <w:lang w:val="en-ZA"/>
        </w:rPr>
        <w:t>; and</w:t>
      </w:r>
      <w:r>
        <w:rPr>
          <w:rFonts w:ascii="Arial" w:hAnsi="Arial" w:cs="Arial"/>
          <w:lang w:val="en-ZA"/>
        </w:rPr>
        <w:t xml:space="preserve"> </w:t>
      </w:r>
    </w:p>
    <w:p w:rsidR="00B07539" w:rsidRPr="0000344D" w:rsidRDefault="000363D2" w:rsidP="009C18AB">
      <w:pPr>
        <w:pStyle w:val="ListParagraph"/>
        <w:numPr>
          <w:ilvl w:val="0"/>
          <w:numId w:val="36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  <w:u w:val="single"/>
          <w:lang w:val="en-ZA"/>
        </w:rPr>
      </w:pPr>
      <w:r>
        <w:rPr>
          <w:rFonts w:ascii="Arial" w:hAnsi="Arial" w:cs="Arial"/>
          <w:lang w:val="en-ZA"/>
        </w:rPr>
        <w:t xml:space="preserve">From the total number of 1 203 </w:t>
      </w:r>
      <w:r w:rsidR="009C18AB">
        <w:rPr>
          <w:rFonts w:ascii="Arial" w:hAnsi="Arial" w:cs="Arial"/>
          <w:lang w:val="en-ZA"/>
        </w:rPr>
        <w:t>of briefs allocated to female</w:t>
      </w:r>
      <w:r>
        <w:rPr>
          <w:rFonts w:ascii="Arial" w:hAnsi="Arial" w:cs="Arial"/>
          <w:lang w:val="en-ZA"/>
        </w:rPr>
        <w:t xml:space="preserve"> counsel for the first two quarters of 2019/20, </w:t>
      </w:r>
      <w:r w:rsidR="009C18AB">
        <w:rPr>
          <w:rFonts w:ascii="Arial" w:hAnsi="Arial" w:cs="Arial"/>
          <w:lang w:val="en-ZA"/>
        </w:rPr>
        <w:t>761 briefs were allocated to African females.</w:t>
      </w:r>
    </w:p>
    <w:p w:rsidR="00B07539" w:rsidRPr="00EF709D" w:rsidRDefault="0000344D" w:rsidP="0000344D">
      <w:pPr>
        <w:tabs>
          <w:tab w:val="left" w:pos="8304"/>
        </w:tabs>
        <w:spacing w:line="360" w:lineRule="auto"/>
        <w:ind w:left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</w:p>
    <w:p w:rsidR="00B07539" w:rsidRPr="00EF709D" w:rsidRDefault="00B07539" w:rsidP="00B07539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  <w:lang w:val="en-ZA"/>
        </w:rPr>
      </w:pPr>
      <w:r w:rsidRPr="00EF709D">
        <w:rPr>
          <w:rFonts w:ascii="Arial" w:hAnsi="Arial" w:cs="Arial"/>
          <w:lang w:val="en-ZA"/>
        </w:rPr>
        <w:t>When it comes to female counsel in general</w:t>
      </w:r>
      <w:r>
        <w:rPr>
          <w:rFonts w:ascii="Arial" w:hAnsi="Arial" w:cs="Arial"/>
          <w:lang w:val="en-ZA"/>
        </w:rPr>
        <w:t>,</w:t>
      </w:r>
      <w:r w:rsidRPr="00EF709D">
        <w:rPr>
          <w:rFonts w:ascii="Arial" w:hAnsi="Arial" w:cs="Arial"/>
          <w:lang w:val="en-ZA"/>
        </w:rPr>
        <w:t xml:space="preserve"> the target has ranged from 25% to 29% of value of briefs for the past two financial years</w:t>
      </w:r>
      <w:r>
        <w:rPr>
          <w:rFonts w:ascii="Arial" w:hAnsi="Arial" w:cs="Arial"/>
          <w:lang w:val="en-ZA"/>
        </w:rPr>
        <w:t>,</w:t>
      </w:r>
      <w:r w:rsidRPr="00EF709D">
        <w:rPr>
          <w:rFonts w:ascii="Arial" w:hAnsi="Arial" w:cs="Arial"/>
          <w:lang w:val="en-ZA"/>
        </w:rPr>
        <w:t xml:space="preserve"> and </w:t>
      </w:r>
      <w:r>
        <w:rPr>
          <w:rFonts w:ascii="Arial" w:hAnsi="Arial" w:cs="Arial"/>
          <w:lang w:val="en-ZA"/>
        </w:rPr>
        <w:t>I have</w:t>
      </w:r>
      <w:r w:rsidRPr="00EF709D">
        <w:rPr>
          <w:rFonts w:ascii="Arial" w:hAnsi="Arial" w:cs="Arial"/>
          <w:lang w:val="en-ZA"/>
        </w:rPr>
        <w:t xml:space="preserve"> been in the forefront of ensuring that the Department le</w:t>
      </w:r>
      <w:r>
        <w:rPr>
          <w:rFonts w:ascii="Arial" w:hAnsi="Arial" w:cs="Arial"/>
          <w:lang w:val="en-ZA"/>
        </w:rPr>
        <w:t>a</w:t>
      </w:r>
      <w:r w:rsidRPr="00EF709D">
        <w:rPr>
          <w:rFonts w:ascii="Arial" w:hAnsi="Arial" w:cs="Arial"/>
          <w:lang w:val="en-ZA"/>
        </w:rPr>
        <w:t xml:space="preserve">d by example by </w:t>
      </w:r>
      <w:r w:rsidR="0000344D">
        <w:rPr>
          <w:rFonts w:ascii="Arial" w:hAnsi="Arial" w:cs="Arial"/>
          <w:lang w:val="en-ZA"/>
        </w:rPr>
        <w:t xml:space="preserve">allocating the majority of the matters </w:t>
      </w:r>
      <w:r w:rsidRPr="00EF709D">
        <w:rPr>
          <w:rFonts w:ascii="Arial" w:hAnsi="Arial" w:cs="Arial"/>
          <w:lang w:val="en-ZA"/>
        </w:rPr>
        <w:t xml:space="preserve">relating to the Ministry and Department </w:t>
      </w:r>
      <w:r w:rsidR="0000344D">
        <w:rPr>
          <w:rFonts w:ascii="Arial" w:hAnsi="Arial" w:cs="Arial"/>
          <w:lang w:val="en-ZA"/>
        </w:rPr>
        <w:t xml:space="preserve">to </w:t>
      </w:r>
      <w:r w:rsidRPr="00EF709D">
        <w:rPr>
          <w:rFonts w:ascii="Arial" w:hAnsi="Arial" w:cs="Arial"/>
          <w:lang w:val="en-ZA"/>
        </w:rPr>
        <w:t xml:space="preserve">female counsel and African female counsel, in particular. </w:t>
      </w:r>
    </w:p>
    <w:p w:rsidR="00B07539" w:rsidRPr="00EF709D" w:rsidRDefault="00B07539" w:rsidP="00AA0855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lang w:val="en-ZA"/>
        </w:rPr>
      </w:pPr>
    </w:p>
    <w:p w:rsidR="00B07539" w:rsidRPr="00154A6E" w:rsidRDefault="00AA0855" w:rsidP="00B07539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We continue to engage</w:t>
      </w:r>
      <w:r w:rsidR="00B07539" w:rsidRPr="00EF709D">
        <w:rPr>
          <w:rFonts w:ascii="Arial" w:hAnsi="Arial" w:cs="Arial"/>
          <w:lang w:val="en-ZA"/>
        </w:rPr>
        <w:t xml:space="preserve"> with the various role-players and stakeholders</w:t>
      </w:r>
      <w:r w:rsidR="00B07539" w:rsidRPr="00B505F8">
        <w:rPr>
          <w:rFonts w:ascii="Arial" w:hAnsi="Arial" w:cs="Arial"/>
          <w:lang w:val="en-ZA"/>
        </w:rPr>
        <w:t xml:space="preserve"> </w:t>
      </w:r>
      <w:r w:rsidR="00B07539" w:rsidRPr="00EF709D">
        <w:rPr>
          <w:rFonts w:ascii="Arial" w:hAnsi="Arial" w:cs="Arial"/>
          <w:lang w:val="en-ZA"/>
        </w:rPr>
        <w:t>over a period of time, ranging from the</w:t>
      </w:r>
      <w:r w:rsidR="0000344D">
        <w:rPr>
          <w:rFonts w:ascii="Arial" w:hAnsi="Arial" w:cs="Arial"/>
          <w:lang w:val="en-ZA"/>
        </w:rPr>
        <w:t xml:space="preserve"> Legal Practice Council (LPC) and </w:t>
      </w:r>
      <w:r w:rsidR="00B07539" w:rsidRPr="00EF709D">
        <w:rPr>
          <w:rFonts w:ascii="Arial" w:hAnsi="Arial" w:cs="Arial"/>
          <w:lang w:val="en-ZA"/>
        </w:rPr>
        <w:t>the various associations</w:t>
      </w:r>
      <w:r w:rsidR="00DF7B43">
        <w:rPr>
          <w:rFonts w:ascii="Arial" w:hAnsi="Arial" w:cs="Arial"/>
          <w:lang w:val="en-ZA"/>
        </w:rPr>
        <w:t>,</w:t>
      </w:r>
      <w:r w:rsidR="00B07539" w:rsidRPr="00EF709D">
        <w:rPr>
          <w:rFonts w:ascii="Arial" w:hAnsi="Arial" w:cs="Arial"/>
          <w:lang w:val="en-ZA"/>
        </w:rPr>
        <w:t xml:space="preserve"> </w:t>
      </w:r>
      <w:r w:rsidR="0000344D">
        <w:rPr>
          <w:rFonts w:ascii="Arial" w:hAnsi="Arial" w:cs="Arial"/>
          <w:lang w:val="en-ZA"/>
        </w:rPr>
        <w:t>for example</w:t>
      </w:r>
      <w:r w:rsidR="00DF7B43">
        <w:rPr>
          <w:rFonts w:ascii="Arial" w:hAnsi="Arial" w:cs="Arial"/>
          <w:lang w:val="en-ZA"/>
        </w:rPr>
        <w:t>:</w:t>
      </w:r>
      <w:r w:rsidR="0000344D">
        <w:rPr>
          <w:rFonts w:ascii="Arial" w:hAnsi="Arial" w:cs="Arial"/>
          <w:lang w:val="en-ZA"/>
        </w:rPr>
        <w:t xml:space="preserve"> the</w:t>
      </w:r>
      <w:r w:rsidR="00B07539" w:rsidRPr="00EF709D">
        <w:rPr>
          <w:rFonts w:ascii="Arial" w:hAnsi="Arial" w:cs="Arial"/>
          <w:lang w:val="en-ZA"/>
        </w:rPr>
        <w:t xml:space="preserve"> </w:t>
      </w:r>
      <w:r w:rsidR="00B07539" w:rsidRPr="00154A6E">
        <w:rPr>
          <w:rFonts w:ascii="Arial" w:hAnsi="Arial" w:cs="Arial"/>
        </w:rPr>
        <w:t>National Association of Democratic Lawyers </w:t>
      </w:r>
      <w:r w:rsidR="00B07539">
        <w:rPr>
          <w:rFonts w:ascii="Arial" w:hAnsi="Arial" w:cs="Arial"/>
        </w:rPr>
        <w:t>(</w:t>
      </w:r>
      <w:r w:rsidR="00B07539" w:rsidRPr="00EF709D">
        <w:rPr>
          <w:rFonts w:ascii="Arial" w:hAnsi="Arial" w:cs="Arial"/>
          <w:lang w:val="en-ZA"/>
        </w:rPr>
        <w:t>NADEL</w:t>
      </w:r>
      <w:r w:rsidR="00B07539">
        <w:rPr>
          <w:rFonts w:ascii="Arial" w:hAnsi="Arial" w:cs="Arial"/>
          <w:lang w:val="en-ZA"/>
        </w:rPr>
        <w:t>)</w:t>
      </w:r>
      <w:r w:rsidR="00B07539" w:rsidRPr="00EF709D">
        <w:rPr>
          <w:rFonts w:ascii="Arial" w:hAnsi="Arial" w:cs="Arial"/>
          <w:lang w:val="en-ZA"/>
        </w:rPr>
        <w:t xml:space="preserve">, </w:t>
      </w:r>
      <w:r w:rsidR="00B07539" w:rsidRPr="00A136EC">
        <w:rPr>
          <w:rFonts w:ascii="Arial" w:hAnsi="Arial" w:cs="Arial"/>
        </w:rPr>
        <w:t>Black Lawyers Association</w:t>
      </w:r>
      <w:r w:rsidR="00B07539">
        <w:rPr>
          <w:rFonts w:ascii="Arial" w:hAnsi="Arial" w:cs="Arial"/>
        </w:rPr>
        <w:t xml:space="preserve"> (</w:t>
      </w:r>
      <w:r w:rsidR="00B07539" w:rsidRPr="00EF709D">
        <w:rPr>
          <w:rFonts w:ascii="Arial" w:hAnsi="Arial" w:cs="Arial"/>
          <w:lang w:val="en-ZA"/>
        </w:rPr>
        <w:t>BLA</w:t>
      </w:r>
      <w:r w:rsidR="00B07539">
        <w:rPr>
          <w:rFonts w:ascii="Arial" w:hAnsi="Arial" w:cs="Arial"/>
          <w:lang w:val="en-ZA"/>
        </w:rPr>
        <w:t>)</w:t>
      </w:r>
      <w:r w:rsidR="00B07539" w:rsidRPr="00EF709D">
        <w:rPr>
          <w:rFonts w:ascii="Arial" w:hAnsi="Arial" w:cs="Arial"/>
          <w:lang w:val="en-ZA"/>
        </w:rPr>
        <w:t xml:space="preserve">, </w:t>
      </w:r>
      <w:r w:rsidR="00B07539" w:rsidRPr="00230E64">
        <w:rPr>
          <w:rFonts w:ascii="Arial" w:hAnsi="Arial" w:cs="Arial"/>
        </w:rPr>
        <w:t>Advocates for Transformation</w:t>
      </w:r>
      <w:r w:rsidR="00B07539">
        <w:rPr>
          <w:rFonts w:ascii="Arial" w:hAnsi="Arial" w:cs="Arial"/>
        </w:rPr>
        <w:t xml:space="preserve"> (</w:t>
      </w:r>
      <w:r w:rsidR="00B07539" w:rsidRPr="00EF709D">
        <w:rPr>
          <w:rFonts w:ascii="Arial" w:hAnsi="Arial" w:cs="Arial"/>
          <w:lang w:val="en-ZA"/>
        </w:rPr>
        <w:t>AFT</w:t>
      </w:r>
      <w:r w:rsidR="00B07539">
        <w:rPr>
          <w:rFonts w:ascii="Arial" w:hAnsi="Arial" w:cs="Arial"/>
          <w:lang w:val="en-ZA"/>
        </w:rPr>
        <w:t>)</w:t>
      </w:r>
      <w:r w:rsidR="00B07539" w:rsidRPr="00EF709D">
        <w:rPr>
          <w:rFonts w:ascii="Arial" w:hAnsi="Arial" w:cs="Arial"/>
          <w:lang w:val="en-ZA"/>
        </w:rPr>
        <w:t xml:space="preserve">, </w:t>
      </w:r>
      <w:r w:rsidR="00B07539" w:rsidRPr="00230E64">
        <w:rPr>
          <w:rFonts w:ascii="Arial" w:hAnsi="Arial" w:cs="Arial"/>
        </w:rPr>
        <w:t>South African Women Lawyers Association</w:t>
      </w:r>
      <w:r w:rsidR="00B07539">
        <w:rPr>
          <w:rFonts w:ascii="Arial" w:hAnsi="Arial" w:cs="Arial"/>
        </w:rPr>
        <w:t xml:space="preserve"> (</w:t>
      </w:r>
      <w:r w:rsidR="00B07539" w:rsidRPr="00EF709D">
        <w:rPr>
          <w:rFonts w:ascii="Arial" w:hAnsi="Arial" w:cs="Arial"/>
          <w:lang w:val="en-ZA"/>
        </w:rPr>
        <w:t>SAWLA</w:t>
      </w:r>
      <w:r w:rsidR="00B07539">
        <w:rPr>
          <w:rFonts w:ascii="Arial" w:hAnsi="Arial" w:cs="Arial"/>
          <w:lang w:val="en-ZA"/>
        </w:rPr>
        <w:t xml:space="preserve">) </w:t>
      </w:r>
      <w:r w:rsidR="0023174C">
        <w:rPr>
          <w:rFonts w:ascii="Arial" w:hAnsi="Arial" w:cs="Arial"/>
          <w:lang w:val="en-ZA"/>
        </w:rPr>
        <w:t>etc.</w:t>
      </w:r>
      <w:r w:rsidR="00B07539" w:rsidRPr="00EF709D">
        <w:rPr>
          <w:rFonts w:ascii="Arial" w:hAnsi="Arial" w:cs="Arial"/>
          <w:lang w:val="en-ZA"/>
        </w:rPr>
        <w:t xml:space="preserve"> to encourage collaboration in building capacity amongst wom</w:t>
      </w:r>
      <w:r w:rsidR="00B07539">
        <w:rPr>
          <w:rFonts w:ascii="Arial" w:hAnsi="Arial" w:cs="Arial"/>
          <w:lang w:val="en-ZA"/>
        </w:rPr>
        <w:t>e</w:t>
      </w:r>
      <w:r w:rsidR="00B07539" w:rsidRPr="00EF709D">
        <w:rPr>
          <w:rFonts w:ascii="Arial" w:hAnsi="Arial" w:cs="Arial"/>
          <w:lang w:val="en-ZA"/>
        </w:rPr>
        <w:t xml:space="preserve">n legal practitioners so they can better opportunities within the legal profession and for the </w:t>
      </w:r>
      <w:r w:rsidR="00B07539">
        <w:rPr>
          <w:rFonts w:ascii="Arial" w:hAnsi="Arial" w:cs="Arial"/>
          <w:lang w:val="en-ZA"/>
        </w:rPr>
        <w:t>Judicial Service Commission’s</w:t>
      </w:r>
      <w:r w:rsidR="00B07539" w:rsidRPr="00EF709D">
        <w:rPr>
          <w:rFonts w:ascii="Arial" w:hAnsi="Arial" w:cs="Arial"/>
          <w:lang w:val="en-ZA"/>
        </w:rPr>
        <w:t xml:space="preserve"> interviews for the Bench. </w:t>
      </w:r>
    </w:p>
    <w:p w:rsidR="00B07539" w:rsidRDefault="00B07539" w:rsidP="00B07539">
      <w:pPr>
        <w:pStyle w:val="ListParagraph"/>
        <w:spacing w:line="360" w:lineRule="auto"/>
        <w:contextualSpacing w:val="0"/>
        <w:jc w:val="both"/>
        <w:rPr>
          <w:rFonts w:ascii="Arial" w:hAnsi="Arial" w:cs="Arial"/>
          <w:lang w:val="en-ZA"/>
        </w:rPr>
      </w:pPr>
    </w:p>
    <w:p w:rsidR="00AA0855" w:rsidRPr="00EF709D" w:rsidRDefault="00AA0855" w:rsidP="00B07539">
      <w:pPr>
        <w:pStyle w:val="ListParagraph"/>
        <w:spacing w:line="360" w:lineRule="auto"/>
        <w:contextualSpacing w:val="0"/>
        <w:jc w:val="both"/>
        <w:rPr>
          <w:rFonts w:ascii="Arial" w:hAnsi="Arial" w:cs="Arial"/>
          <w:lang w:val="en-ZA"/>
        </w:rPr>
      </w:pPr>
    </w:p>
    <w:p w:rsidR="00B07539" w:rsidRDefault="00AA0855" w:rsidP="00BD076D">
      <w:pPr>
        <w:pStyle w:val="ListParagraph"/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 From 2017 the </w:t>
      </w:r>
      <w:r w:rsidR="0000344D">
        <w:rPr>
          <w:rFonts w:ascii="Arial" w:hAnsi="Arial" w:cs="Arial"/>
          <w:lang w:val="en-ZA"/>
        </w:rPr>
        <w:t xml:space="preserve">statistical information relating to the allocation of legal work </w:t>
      </w:r>
      <w:r w:rsidR="0002428C">
        <w:rPr>
          <w:rFonts w:ascii="Arial" w:hAnsi="Arial" w:cs="Arial"/>
          <w:lang w:val="en-ZA"/>
        </w:rPr>
        <w:t>to private legal practitioners</w:t>
      </w:r>
      <w:r>
        <w:rPr>
          <w:rFonts w:ascii="Arial" w:hAnsi="Arial" w:cs="Arial"/>
          <w:lang w:val="en-ZA"/>
        </w:rPr>
        <w:t xml:space="preserve"> is published</w:t>
      </w:r>
      <w:r w:rsidR="0002428C">
        <w:rPr>
          <w:rFonts w:ascii="Arial" w:hAnsi="Arial" w:cs="Arial"/>
          <w:lang w:val="en-ZA"/>
        </w:rPr>
        <w:t xml:space="preserve"> on the Department’s website, </w:t>
      </w:r>
      <w:r w:rsidR="00A136A6">
        <w:rPr>
          <w:rFonts w:ascii="Arial" w:hAnsi="Arial" w:cs="Arial"/>
          <w:lang w:val="en-ZA"/>
        </w:rPr>
        <w:t>so</w:t>
      </w:r>
      <w:r w:rsidR="0002428C">
        <w:rPr>
          <w:rFonts w:ascii="Arial" w:hAnsi="Arial" w:cs="Arial"/>
          <w:lang w:val="en-ZA"/>
        </w:rPr>
        <w:t xml:space="preserve"> as to ensure transparency and promote accountability.  </w:t>
      </w:r>
    </w:p>
    <w:p w:rsidR="00B07539" w:rsidRDefault="00B07539" w:rsidP="00AA0855">
      <w:pPr>
        <w:pStyle w:val="ListParagraph"/>
        <w:spacing w:line="360" w:lineRule="auto"/>
        <w:ind w:left="0"/>
        <w:contextualSpacing w:val="0"/>
        <w:jc w:val="both"/>
        <w:rPr>
          <w:rFonts w:ascii="Arial" w:hAnsi="Arial" w:cs="Arial"/>
          <w:lang w:val="en-ZA"/>
        </w:rPr>
      </w:pPr>
    </w:p>
    <w:p w:rsidR="007E1FE2" w:rsidRDefault="00B07539" w:rsidP="00AA0855">
      <w:pPr>
        <w:pStyle w:val="ListParagraph"/>
        <w:spacing w:line="360" w:lineRule="auto"/>
        <w:ind w:left="709"/>
        <w:contextualSpacing w:val="0"/>
        <w:jc w:val="both"/>
        <w:rPr>
          <w:rFonts w:ascii="Arial" w:hAnsi="Arial" w:cs="Arial"/>
          <w:lang w:val="en-ZA"/>
        </w:rPr>
      </w:pPr>
      <w:r w:rsidRPr="00EF709D">
        <w:rPr>
          <w:rFonts w:ascii="Arial" w:hAnsi="Arial" w:cs="Arial"/>
          <w:lang w:val="en-ZA"/>
        </w:rPr>
        <w:t xml:space="preserve">The briefing </w:t>
      </w:r>
      <w:r>
        <w:rPr>
          <w:rFonts w:ascii="Arial" w:hAnsi="Arial" w:cs="Arial"/>
          <w:lang w:val="en-ZA"/>
        </w:rPr>
        <w:t>target</w:t>
      </w:r>
      <w:r w:rsidRPr="00EF709D">
        <w:rPr>
          <w:rFonts w:ascii="Arial" w:hAnsi="Arial" w:cs="Arial"/>
          <w:lang w:val="en-ZA"/>
        </w:rPr>
        <w:t xml:space="preserve"> in respect of females has been and is currently being increased per year as the pool of females’ counsel continuous</w:t>
      </w:r>
      <w:r>
        <w:rPr>
          <w:rFonts w:ascii="Arial" w:hAnsi="Arial" w:cs="Arial"/>
          <w:lang w:val="en-ZA"/>
        </w:rPr>
        <w:t>ly grow</w:t>
      </w:r>
      <w:r w:rsidR="00A136A6">
        <w:rPr>
          <w:rFonts w:ascii="Arial" w:hAnsi="Arial" w:cs="Arial"/>
          <w:lang w:val="en-ZA"/>
        </w:rPr>
        <w:t xml:space="preserve">s and </w:t>
      </w:r>
      <w:r w:rsidRPr="00EF709D">
        <w:rPr>
          <w:rFonts w:ascii="Arial" w:hAnsi="Arial" w:cs="Arial"/>
          <w:lang w:val="en-ZA"/>
        </w:rPr>
        <w:t>increase</w:t>
      </w:r>
      <w:r w:rsidR="00A136A6">
        <w:rPr>
          <w:rFonts w:ascii="Arial" w:hAnsi="Arial" w:cs="Arial"/>
          <w:lang w:val="en-ZA"/>
        </w:rPr>
        <w:t>s</w:t>
      </w:r>
      <w:r w:rsidRPr="00EF709D">
        <w:rPr>
          <w:rFonts w:ascii="Arial" w:hAnsi="Arial" w:cs="Arial"/>
          <w:lang w:val="en-ZA"/>
        </w:rPr>
        <w:t xml:space="preserve">. </w:t>
      </w:r>
    </w:p>
    <w:p w:rsidR="00BD076D" w:rsidRPr="00AA0855" w:rsidRDefault="00BD076D" w:rsidP="00AA0855">
      <w:pPr>
        <w:pStyle w:val="ListParagraph"/>
        <w:spacing w:line="360" w:lineRule="auto"/>
        <w:ind w:left="709"/>
        <w:contextualSpacing w:val="0"/>
        <w:jc w:val="both"/>
        <w:rPr>
          <w:rFonts w:ascii="Arial" w:hAnsi="Arial" w:cs="Arial"/>
          <w:sz w:val="22"/>
          <w:szCs w:val="22"/>
          <w:lang w:val="en-ZA"/>
        </w:rPr>
      </w:pPr>
    </w:p>
    <w:p w:rsidR="007E1FE2" w:rsidRDefault="007E1FE2" w:rsidP="00BD076D">
      <w:pPr>
        <w:pStyle w:val="ListParagraph"/>
        <w:numPr>
          <w:ilvl w:val="0"/>
          <w:numId w:val="38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following are among</w:t>
      </w:r>
      <w:r w:rsidR="00BD076D">
        <w:rPr>
          <w:rFonts w:ascii="Arial" w:hAnsi="Arial" w:cs="Arial"/>
          <w:lang w:val="en-ZA"/>
        </w:rPr>
        <w:t xml:space="preserve">st the </w:t>
      </w:r>
      <w:r>
        <w:rPr>
          <w:rFonts w:ascii="Arial" w:hAnsi="Arial" w:cs="Arial"/>
          <w:lang w:val="en-ZA"/>
        </w:rPr>
        <w:t>measures we are emb</w:t>
      </w:r>
      <w:r w:rsidR="006F4705">
        <w:rPr>
          <w:rFonts w:ascii="Arial" w:hAnsi="Arial" w:cs="Arial"/>
          <w:lang w:val="en-ZA"/>
        </w:rPr>
        <w:t>a</w:t>
      </w:r>
      <w:r>
        <w:rPr>
          <w:rFonts w:ascii="Arial" w:hAnsi="Arial" w:cs="Arial"/>
          <w:lang w:val="en-ZA"/>
        </w:rPr>
        <w:t>r</w:t>
      </w:r>
      <w:r w:rsidR="006F4705">
        <w:rPr>
          <w:rFonts w:ascii="Arial" w:hAnsi="Arial" w:cs="Arial"/>
          <w:lang w:val="en-ZA"/>
        </w:rPr>
        <w:t>ki</w:t>
      </w:r>
      <w:r>
        <w:rPr>
          <w:rFonts w:ascii="Arial" w:hAnsi="Arial" w:cs="Arial"/>
          <w:lang w:val="en-ZA"/>
        </w:rPr>
        <w:t>ng upon to advance gender equality in the legal profession and the</w:t>
      </w:r>
      <w:r w:rsidR="006F4705">
        <w:rPr>
          <w:rFonts w:ascii="Arial" w:hAnsi="Arial" w:cs="Arial"/>
          <w:lang w:val="en-ZA"/>
        </w:rPr>
        <w:t xml:space="preserve"> judiciary:</w:t>
      </w:r>
      <w:r>
        <w:rPr>
          <w:rFonts w:ascii="Arial" w:hAnsi="Arial" w:cs="Arial"/>
          <w:lang w:val="en-ZA"/>
        </w:rPr>
        <w:t xml:space="preserve"> </w:t>
      </w:r>
    </w:p>
    <w:p w:rsidR="00BD076D" w:rsidRDefault="00BD076D" w:rsidP="00BD076D">
      <w:pPr>
        <w:pStyle w:val="ListParagraph"/>
        <w:spacing w:line="360" w:lineRule="auto"/>
        <w:contextualSpacing w:val="0"/>
        <w:jc w:val="both"/>
        <w:rPr>
          <w:rFonts w:ascii="Arial" w:hAnsi="Arial" w:cs="Arial"/>
          <w:lang w:val="en-ZA"/>
        </w:rPr>
      </w:pPr>
    </w:p>
    <w:p w:rsidR="007E1FE2" w:rsidRDefault="007E1FE2" w:rsidP="007E1FE2">
      <w:pPr>
        <w:pStyle w:val="ListParagraph"/>
        <w:numPr>
          <w:ilvl w:val="1"/>
          <w:numId w:val="34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We are developing a framework for the appointment of </w:t>
      </w:r>
      <w:r w:rsidR="006F4705">
        <w:rPr>
          <w:rFonts w:ascii="Arial" w:hAnsi="Arial" w:cs="Arial"/>
          <w:lang w:val="en-ZA"/>
        </w:rPr>
        <w:t xml:space="preserve">acting judges </w:t>
      </w:r>
      <w:r>
        <w:rPr>
          <w:rFonts w:ascii="Arial" w:hAnsi="Arial" w:cs="Arial"/>
          <w:lang w:val="en-ZA"/>
        </w:rPr>
        <w:t xml:space="preserve">and there </w:t>
      </w:r>
      <w:r w:rsidR="00DF7B43">
        <w:rPr>
          <w:rFonts w:ascii="Arial" w:hAnsi="Arial" w:cs="Arial"/>
          <w:lang w:val="en-ZA"/>
        </w:rPr>
        <w:t>are</w:t>
      </w:r>
      <w:r w:rsidR="00A607D1">
        <w:rPr>
          <w:rFonts w:ascii="Arial" w:hAnsi="Arial" w:cs="Arial"/>
          <w:lang w:val="en-ZA"/>
        </w:rPr>
        <w:t xml:space="preserve"> on-going discussions</w:t>
      </w:r>
      <w:r w:rsidR="00CC7A28">
        <w:rPr>
          <w:rFonts w:ascii="Arial" w:hAnsi="Arial" w:cs="Arial"/>
          <w:lang w:val="en-ZA"/>
        </w:rPr>
        <w:t xml:space="preserve"> with </w:t>
      </w:r>
      <w:r w:rsidR="006F4705">
        <w:rPr>
          <w:rFonts w:ascii="Arial" w:hAnsi="Arial" w:cs="Arial"/>
          <w:lang w:val="en-ZA"/>
        </w:rPr>
        <w:t>H</w:t>
      </w:r>
      <w:r w:rsidR="00CC7A28">
        <w:rPr>
          <w:rFonts w:ascii="Arial" w:hAnsi="Arial" w:cs="Arial"/>
          <w:lang w:val="en-ZA"/>
        </w:rPr>
        <w:t xml:space="preserve">eads of </w:t>
      </w:r>
      <w:r w:rsidR="006F4705">
        <w:rPr>
          <w:rFonts w:ascii="Arial" w:hAnsi="Arial" w:cs="Arial"/>
          <w:lang w:val="en-ZA"/>
        </w:rPr>
        <w:t>C</w:t>
      </w:r>
      <w:r w:rsidR="00CC7A28">
        <w:rPr>
          <w:rFonts w:ascii="Arial" w:hAnsi="Arial" w:cs="Arial"/>
          <w:lang w:val="en-ZA"/>
        </w:rPr>
        <w:t>ourt regarding this. This is important as acting appoint</w:t>
      </w:r>
      <w:r w:rsidR="006F4705">
        <w:rPr>
          <w:rFonts w:ascii="Arial" w:hAnsi="Arial" w:cs="Arial"/>
          <w:lang w:val="en-ZA"/>
        </w:rPr>
        <w:t>ment</w:t>
      </w:r>
      <w:r w:rsidR="00CC7A28">
        <w:rPr>
          <w:rFonts w:ascii="Arial" w:hAnsi="Arial" w:cs="Arial"/>
          <w:lang w:val="en-ZA"/>
        </w:rPr>
        <w:t xml:space="preserve">s </w:t>
      </w:r>
      <w:r w:rsidR="00DF7B43">
        <w:rPr>
          <w:rFonts w:ascii="Arial" w:hAnsi="Arial" w:cs="Arial"/>
          <w:lang w:val="en-ZA"/>
        </w:rPr>
        <w:t xml:space="preserve">are </w:t>
      </w:r>
      <w:r w:rsidR="00CC7A28">
        <w:rPr>
          <w:rFonts w:ascii="Arial" w:hAnsi="Arial" w:cs="Arial"/>
          <w:lang w:val="en-ZA"/>
        </w:rPr>
        <w:t xml:space="preserve">an important </w:t>
      </w:r>
      <w:r w:rsidR="006F4705">
        <w:rPr>
          <w:rFonts w:ascii="Arial" w:hAnsi="Arial" w:cs="Arial"/>
          <w:lang w:val="en-ZA"/>
        </w:rPr>
        <w:t xml:space="preserve">vehicle </w:t>
      </w:r>
      <w:r w:rsidR="00CC7A28">
        <w:rPr>
          <w:rFonts w:ascii="Arial" w:hAnsi="Arial" w:cs="Arial"/>
          <w:lang w:val="en-ZA"/>
        </w:rPr>
        <w:t xml:space="preserve">through </w:t>
      </w:r>
      <w:r w:rsidR="006F4705">
        <w:rPr>
          <w:rFonts w:ascii="Arial" w:hAnsi="Arial" w:cs="Arial"/>
          <w:lang w:val="en-ZA"/>
        </w:rPr>
        <w:t xml:space="preserve">which </w:t>
      </w:r>
      <w:r w:rsidR="00CC7A28">
        <w:rPr>
          <w:rFonts w:ascii="Arial" w:hAnsi="Arial" w:cs="Arial"/>
          <w:lang w:val="en-ZA"/>
        </w:rPr>
        <w:t>women pr</w:t>
      </w:r>
      <w:r w:rsidR="006F4705">
        <w:rPr>
          <w:rFonts w:ascii="Arial" w:hAnsi="Arial" w:cs="Arial"/>
          <w:lang w:val="en-ZA"/>
        </w:rPr>
        <w:t>actitioners</w:t>
      </w:r>
      <w:r w:rsidR="00CC7A28">
        <w:rPr>
          <w:rFonts w:ascii="Arial" w:hAnsi="Arial" w:cs="Arial"/>
          <w:lang w:val="en-ZA"/>
        </w:rPr>
        <w:t xml:space="preserve"> can enhance their op</w:t>
      </w:r>
      <w:r w:rsidR="006F4705">
        <w:rPr>
          <w:rFonts w:ascii="Arial" w:hAnsi="Arial" w:cs="Arial"/>
          <w:lang w:val="en-ZA"/>
        </w:rPr>
        <w:t>portunity</w:t>
      </w:r>
      <w:r w:rsidR="00CC7A28">
        <w:rPr>
          <w:rFonts w:ascii="Arial" w:hAnsi="Arial" w:cs="Arial"/>
          <w:lang w:val="en-ZA"/>
        </w:rPr>
        <w:t xml:space="preserve"> for permanent app</w:t>
      </w:r>
      <w:r w:rsidR="006F4705">
        <w:rPr>
          <w:rFonts w:ascii="Arial" w:hAnsi="Arial" w:cs="Arial"/>
          <w:lang w:val="en-ZA"/>
        </w:rPr>
        <w:t>ointments</w:t>
      </w:r>
      <w:r w:rsidR="00CC7A28">
        <w:rPr>
          <w:rFonts w:ascii="Arial" w:hAnsi="Arial" w:cs="Arial"/>
          <w:lang w:val="en-ZA"/>
        </w:rPr>
        <w:t xml:space="preserve"> on the bench.</w:t>
      </w:r>
    </w:p>
    <w:p w:rsidR="00CC7A28" w:rsidRDefault="00A607D1" w:rsidP="007E1FE2">
      <w:pPr>
        <w:pStyle w:val="ListParagraph"/>
        <w:numPr>
          <w:ilvl w:val="1"/>
          <w:numId w:val="34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Department c</w:t>
      </w:r>
      <w:r w:rsidR="00CC7A28">
        <w:rPr>
          <w:rFonts w:ascii="Arial" w:hAnsi="Arial" w:cs="Arial"/>
          <w:lang w:val="en-ZA"/>
        </w:rPr>
        <w:t>ontinu</w:t>
      </w:r>
      <w:r w:rsidR="00A136A6">
        <w:rPr>
          <w:rFonts w:ascii="Arial" w:hAnsi="Arial" w:cs="Arial"/>
          <w:lang w:val="en-ZA"/>
        </w:rPr>
        <w:t>es</w:t>
      </w:r>
      <w:r w:rsidR="00CC7A28">
        <w:rPr>
          <w:rFonts w:ascii="Arial" w:hAnsi="Arial" w:cs="Arial"/>
          <w:lang w:val="en-ZA"/>
        </w:rPr>
        <w:t xml:space="preserve"> to support the </w:t>
      </w:r>
      <w:r>
        <w:rPr>
          <w:rFonts w:ascii="Arial" w:hAnsi="Arial" w:cs="Arial"/>
          <w:lang w:val="en-ZA"/>
        </w:rPr>
        <w:t>structures</w:t>
      </w:r>
      <w:r w:rsidR="00CC7A28">
        <w:rPr>
          <w:rFonts w:ascii="Arial" w:hAnsi="Arial" w:cs="Arial"/>
          <w:lang w:val="en-ZA"/>
        </w:rPr>
        <w:t xml:space="preserve"> such as the South African Women Lawyers Association and the International Association of Women Judges which have, as their </w:t>
      </w:r>
      <w:r>
        <w:rPr>
          <w:rFonts w:ascii="Arial" w:hAnsi="Arial" w:cs="Arial"/>
          <w:lang w:val="en-ZA"/>
        </w:rPr>
        <w:t>objective</w:t>
      </w:r>
      <w:r w:rsidR="00CC7A28">
        <w:rPr>
          <w:rFonts w:ascii="Arial" w:hAnsi="Arial" w:cs="Arial"/>
          <w:lang w:val="en-ZA"/>
        </w:rPr>
        <w:t>, the adv</w:t>
      </w:r>
      <w:r>
        <w:rPr>
          <w:rFonts w:ascii="Arial" w:hAnsi="Arial" w:cs="Arial"/>
          <w:lang w:val="en-ZA"/>
        </w:rPr>
        <w:t>ancement</w:t>
      </w:r>
      <w:r w:rsidR="00CC7A28">
        <w:rPr>
          <w:rFonts w:ascii="Arial" w:hAnsi="Arial" w:cs="Arial"/>
          <w:lang w:val="en-ZA"/>
        </w:rPr>
        <w:t xml:space="preserve"> of women judges.</w:t>
      </w:r>
    </w:p>
    <w:p w:rsidR="00CC7A28" w:rsidRDefault="00CC7A28" w:rsidP="007E1FE2">
      <w:pPr>
        <w:pStyle w:val="ListParagraph"/>
        <w:numPr>
          <w:ilvl w:val="1"/>
          <w:numId w:val="34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In re</w:t>
      </w:r>
      <w:r w:rsidR="00A607D1">
        <w:rPr>
          <w:rFonts w:ascii="Arial" w:hAnsi="Arial" w:cs="Arial"/>
          <w:lang w:val="en-ZA"/>
        </w:rPr>
        <w:t>spect</w:t>
      </w:r>
      <w:r>
        <w:rPr>
          <w:rFonts w:ascii="Arial" w:hAnsi="Arial" w:cs="Arial"/>
          <w:lang w:val="en-ZA"/>
        </w:rPr>
        <w:t xml:space="preserve"> of the legal profession</w:t>
      </w:r>
      <w:r w:rsidR="00DF7B43">
        <w:rPr>
          <w:rFonts w:ascii="Arial" w:hAnsi="Arial" w:cs="Arial"/>
          <w:lang w:val="en-ZA"/>
        </w:rPr>
        <w:t>,</w:t>
      </w:r>
      <w:r>
        <w:rPr>
          <w:rFonts w:ascii="Arial" w:hAnsi="Arial" w:cs="Arial"/>
          <w:lang w:val="en-ZA"/>
        </w:rPr>
        <w:t xml:space="preserve"> </w:t>
      </w:r>
      <w:r w:rsidR="007441C6">
        <w:rPr>
          <w:rFonts w:ascii="Arial" w:hAnsi="Arial" w:cs="Arial"/>
          <w:lang w:val="en-ZA"/>
        </w:rPr>
        <w:t xml:space="preserve">the Department in collaboration with the </w:t>
      </w:r>
      <w:r w:rsidR="00A607D1">
        <w:rPr>
          <w:rFonts w:ascii="Arial" w:hAnsi="Arial" w:cs="Arial"/>
          <w:lang w:val="en-ZA"/>
        </w:rPr>
        <w:t>L</w:t>
      </w:r>
      <w:r w:rsidR="007441C6">
        <w:rPr>
          <w:rFonts w:ascii="Arial" w:hAnsi="Arial" w:cs="Arial"/>
          <w:lang w:val="en-ZA"/>
        </w:rPr>
        <w:t>egal Pr</w:t>
      </w:r>
      <w:r w:rsidR="00A607D1">
        <w:rPr>
          <w:rFonts w:ascii="Arial" w:hAnsi="Arial" w:cs="Arial"/>
          <w:lang w:val="en-ZA"/>
        </w:rPr>
        <w:t>actice Council</w:t>
      </w:r>
      <w:r w:rsidR="00D84922">
        <w:rPr>
          <w:rFonts w:ascii="Arial" w:hAnsi="Arial" w:cs="Arial"/>
          <w:lang w:val="en-ZA"/>
        </w:rPr>
        <w:t>:</w:t>
      </w:r>
      <w:r w:rsidR="00A607D1">
        <w:rPr>
          <w:rFonts w:ascii="Arial" w:hAnsi="Arial" w:cs="Arial"/>
          <w:lang w:val="en-ZA"/>
        </w:rPr>
        <w:t xml:space="preserve"> </w:t>
      </w:r>
    </w:p>
    <w:p w:rsidR="007441C6" w:rsidRDefault="00A607D1" w:rsidP="00DF7B43">
      <w:pPr>
        <w:pStyle w:val="ListParagraph"/>
        <w:numPr>
          <w:ilvl w:val="0"/>
          <w:numId w:val="37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h</w:t>
      </w:r>
      <w:r w:rsidR="007441C6">
        <w:rPr>
          <w:rFonts w:ascii="Arial" w:hAnsi="Arial" w:cs="Arial"/>
          <w:lang w:val="en-ZA"/>
        </w:rPr>
        <w:t>a</w:t>
      </w:r>
      <w:r w:rsidR="00A136A6">
        <w:rPr>
          <w:rFonts w:ascii="Arial" w:hAnsi="Arial" w:cs="Arial"/>
          <w:lang w:val="en-ZA"/>
        </w:rPr>
        <w:t>s</w:t>
      </w:r>
      <w:r w:rsidR="007441C6">
        <w:rPr>
          <w:rFonts w:ascii="Arial" w:hAnsi="Arial" w:cs="Arial"/>
          <w:lang w:val="en-ZA"/>
        </w:rPr>
        <w:t xml:space="preserve"> emb</w:t>
      </w:r>
      <w:r>
        <w:rPr>
          <w:rFonts w:ascii="Arial" w:hAnsi="Arial" w:cs="Arial"/>
          <w:lang w:val="en-ZA"/>
        </w:rPr>
        <w:t>arked on a process</w:t>
      </w:r>
      <w:r w:rsidR="007441C6">
        <w:rPr>
          <w:rFonts w:ascii="Arial" w:hAnsi="Arial" w:cs="Arial"/>
          <w:lang w:val="en-ZA"/>
        </w:rPr>
        <w:t xml:space="preserve"> to develop </w:t>
      </w:r>
      <w:r>
        <w:rPr>
          <w:rFonts w:ascii="Arial" w:hAnsi="Arial" w:cs="Arial"/>
          <w:lang w:val="en-ZA"/>
        </w:rPr>
        <w:t>a</w:t>
      </w:r>
      <w:r w:rsidR="007441C6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L</w:t>
      </w:r>
      <w:r w:rsidR="007441C6">
        <w:rPr>
          <w:rFonts w:ascii="Arial" w:hAnsi="Arial" w:cs="Arial"/>
          <w:lang w:val="en-ZA"/>
        </w:rPr>
        <w:t xml:space="preserve">egal </w:t>
      </w:r>
      <w:r>
        <w:rPr>
          <w:rFonts w:ascii="Arial" w:hAnsi="Arial" w:cs="Arial"/>
          <w:lang w:val="en-ZA"/>
        </w:rPr>
        <w:t>S</w:t>
      </w:r>
      <w:r w:rsidR="007441C6">
        <w:rPr>
          <w:rFonts w:ascii="Arial" w:hAnsi="Arial" w:cs="Arial"/>
          <w:lang w:val="en-ZA"/>
        </w:rPr>
        <w:t xml:space="preserve">ervices </w:t>
      </w:r>
      <w:r>
        <w:rPr>
          <w:rFonts w:ascii="Arial" w:hAnsi="Arial" w:cs="Arial"/>
          <w:lang w:val="en-ZA"/>
        </w:rPr>
        <w:t>C</w:t>
      </w:r>
      <w:r w:rsidR="007441C6">
        <w:rPr>
          <w:rFonts w:ascii="Arial" w:hAnsi="Arial" w:cs="Arial"/>
          <w:lang w:val="en-ZA"/>
        </w:rPr>
        <w:t>ha</w:t>
      </w:r>
      <w:r>
        <w:rPr>
          <w:rFonts w:ascii="Arial" w:hAnsi="Arial" w:cs="Arial"/>
          <w:lang w:val="en-ZA"/>
        </w:rPr>
        <w:t>rter</w:t>
      </w:r>
      <w:r w:rsidR="007441C6">
        <w:rPr>
          <w:rFonts w:ascii="Arial" w:hAnsi="Arial" w:cs="Arial"/>
          <w:lang w:val="en-ZA"/>
        </w:rPr>
        <w:t xml:space="preserve"> which among</w:t>
      </w:r>
      <w:r w:rsidR="00A136A6">
        <w:rPr>
          <w:rFonts w:ascii="Arial" w:hAnsi="Arial" w:cs="Arial"/>
          <w:lang w:val="en-ZA"/>
        </w:rPr>
        <w:t>st</w:t>
      </w:r>
      <w:r w:rsidR="007441C6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 xml:space="preserve">others </w:t>
      </w:r>
      <w:r w:rsidR="007441C6">
        <w:rPr>
          <w:rFonts w:ascii="Arial" w:hAnsi="Arial" w:cs="Arial"/>
          <w:lang w:val="en-ZA"/>
        </w:rPr>
        <w:t>will ensure the transfer of skills to previous</w:t>
      </w:r>
      <w:r w:rsidR="00A136A6">
        <w:rPr>
          <w:rFonts w:ascii="Arial" w:hAnsi="Arial" w:cs="Arial"/>
          <w:lang w:val="en-ZA"/>
        </w:rPr>
        <w:t>ly</w:t>
      </w:r>
      <w:r w:rsidR="007441C6">
        <w:rPr>
          <w:rFonts w:ascii="Arial" w:hAnsi="Arial" w:cs="Arial"/>
          <w:lang w:val="en-ZA"/>
        </w:rPr>
        <w:t xml:space="preserve"> disadvantaged practitioners in particular women</w:t>
      </w:r>
      <w:r w:rsidR="00A136A6">
        <w:rPr>
          <w:rFonts w:ascii="Arial" w:hAnsi="Arial" w:cs="Arial"/>
          <w:lang w:val="en-ZA"/>
        </w:rPr>
        <w:t>;</w:t>
      </w:r>
      <w:r w:rsidR="007441C6">
        <w:rPr>
          <w:rFonts w:ascii="Arial" w:hAnsi="Arial" w:cs="Arial"/>
          <w:lang w:val="en-ZA"/>
        </w:rPr>
        <w:t xml:space="preserve"> </w:t>
      </w:r>
      <w:r w:rsidR="00DF7B43">
        <w:rPr>
          <w:rFonts w:ascii="Arial" w:hAnsi="Arial" w:cs="Arial"/>
          <w:lang w:val="en-ZA"/>
        </w:rPr>
        <w:t>and</w:t>
      </w:r>
    </w:p>
    <w:p w:rsidR="007441C6" w:rsidRPr="00A136EC" w:rsidRDefault="00DF7B43" w:rsidP="00DF7B43">
      <w:pPr>
        <w:pStyle w:val="ListParagraph"/>
        <w:numPr>
          <w:ilvl w:val="0"/>
          <w:numId w:val="37"/>
        </w:numPr>
        <w:spacing w:line="360" w:lineRule="auto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is </w:t>
      </w:r>
      <w:r w:rsidR="007441C6">
        <w:rPr>
          <w:rFonts w:ascii="Arial" w:hAnsi="Arial" w:cs="Arial"/>
          <w:lang w:val="en-ZA"/>
        </w:rPr>
        <w:t>w</w:t>
      </w:r>
      <w:r w:rsidR="00A607D1">
        <w:rPr>
          <w:rFonts w:ascii="Arial" w:hAnsi="Arial" w:cs="Arial"/>
          <w:lang w:val="en-ZA"/>
        </w:rPr>
        <w:t>orking</w:t>
      </w:r>
      <w:r w:rsidR="007441C6">
        <w:rPr>
          <w:rFonts w:ascii="Arial" w:hAnsi="Arial" w:cs="Arial"/>
          <w:lang w:val="en-ZA"/>
        </w:rPr>
        <w:t xml:space="preserve"> on new </w:t>
      </w:r>
      <w:r w:rsidR="00A607D1">
        <w:rPr>
          <w:rFonts w:ascii="Arial" w:hAnsi="Arial" w:cs="Arial"/>
          <w:lang w:val="en-ZA"/>
        </w:rPr>
        <w:t>criteria</w:t>
      </w:r>
      <w:r w:rsidR="007441C6">
        <w:rPr>
          <w:rFonts w:ascii="Arial" w:hAnsi="Arial" w:cs="Arial"/>
          <w:lang w:val="en-ZA"/>
        </w:rPr>
        <w:t xml:space="preserve"> for the conf</w:t>
      </w:r>
      <w:r w:rsidR="00A607D1">
        <w:rPr>
          <w:rFonts w:ascii="Arial" w:hAnsi="Arial" w:cs="Arial"/>
          <w:lang w:val="en-ZA"/>
        </w:rPr>
        <w:t xml:space="preserve">irmation </w:t>
      </w:r>
      <w:r w:rsidR="007441C6">
        <w:rPr>
          <w:rFonts w:ascii="Arial" w:hAnsi="Arial" w:cs="Arial"/>
          <w:lang w:val="en-ZA"/>
        </w:rPr>
        <w:t>of Senior Coun</w:t>
      </w:r>
      <w:r w:rsidR="00246AC5">
        <w:rPr>
          <w:rFonts w:ascii="Arial" w:hAnsi="Arial" w:cs="Arial"/>
          <w:lang w:val="en-ZA"/>
        </w:rPr>
        <w:t>sel s</w:t>
      </w:r>
      <w:r w:rsidR="007441C6">
        <w:rPr>
          <w:rFonts w:ascii="Arial" w:hAnsi="Arial" w:cs="Arial"/>
          <w:lang w:val="en-ZA"/>
        </w:rPr>
        <w:t xml:space="preserve">tatus to eligible practitioners. This is with </w:t>
      </w:r>
      <w:r w:rsidR="00246AC5">
        <w:rPr>
          <w:rFonts w:ascii="Arial" w:hAnsi="Arial" w:cs="Arial"/>
          <w:lang w:val="en-ZA"/>
        </w:rPr>
        <w:t>a</w:t>
      </w:r>
      <w:r w:rsidR="007441C6">
        <w:rPr>
          <w:rFonts w:ascii="Arial" w:hAnsi="Arial" w:cs="Arial"/>
          <w:lang w:val="en-ZA"/>
        </w:rPr>
        <w:t xml:space="preserve"> view to transfer the Senior Coun</w:t>
      </w:r>
      <w:r w:rsidR="00246AC5">
        <w:rPr>
          <w:rFonts w:ascii="Arial" w:hAnsi="Arial" w:cs="Arial"/>
          <w:lang w:val="en-ZA"/>
        </w:rPr>
        <w:t>sel</w:t>
      </w:r>
      <w:r w:rsidR="007441C6">
        <w:rPr>
          <w:rFonts w:ascii="Arial" w:hAnsi="Arial" w:cs="Arial"/>
          <w:lang w:val="en-ZA"/>
        </w:rPr>
        <w:t xml:space="preserve"> sector which is s</w:t>
      </w:r>
      <w:r w:rsidR="00246AC5">
        <w:rPr>
          <w:rFonts w:ascii="Arial" w:hAnsi="Arial" w:cs="Arial"/>
          <w:lang w:val="en-ZA"/>
        </w:rPr>
        <w:t>t</w:t>
      </w:r>
      <w:r w:rsidR="007441C6">
        <w:rPr>
          <w:rFonts w:ascii="Arial" w:hAnsi="Arial" w:cs="Arial"/>
          <w:lang w:val="en-ZA"/>
        </w:rPr>
        <w:t xml:space="preserve">ill predominately male and white.  </w:t>
      </w:r>
    </w:p>
    <w:p w:rsidR="00983C6B" w:rsidRPr="00FE64CB" w:rsidRDefault="00983C6B" w:rsidP="00983C6B">
      <w:pPr>
        <w:rPr>
          <w:rFonts w:ascii="Arial" w:hAnsi="Arial" w:cs="Arial"/>
          <w:b/>
        </w:rPr>
      </w:pPr>
    </w:p>
    <w:sectPr w:rsidR="00983C6B" w:rsidRPr="00FE64CB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C2" w:rsidRDefault="00AC23C2" w:rsidP="00913892">
      <w:r>
        <w:separator/>
      </w:r>
    </w:p>
  </w:endnote>
  <w:endnote w:type="continuationSeparator" w:id="0">
    <w:p w:rsidR="00AC23C2" w:rsidRDefault="00AC23C2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AC23C2" w:rsidRPr="00AC23C2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C2" w:rsidRDefault="00AC23C2" w:rsidP="00913892">
      <w:r>
        <w:separator/>
      </w:r>
    </w:p>
  </w:footnote>
  <w:footnote w:type="continuationSeparator" w:id="0">
    <w:p w:rsidR="00AC23C2" w:rsidRDefault="00AC23C2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713F8"/>
    <w:multiLevelType w:val="hybridMultilevel"/>
    <w:tmpl w:val="09FEC4FE"/>
    <w:lvl w:ilvl="0" w:tplc="D9FC1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D00A41"/>
    <w:multiLevelType w:val="hybridMultilevel"/>
    <w:tmpl w:val="0D6434E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54192"/>
    <w:multiLevelType w:val="hybridMultilevel"/>
    <w:tmpl w:val="3296F7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1C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6857D5"/>
    <w:multiLevelType w:val="hybridMultilevel"/>
    <w:tmpl w:val="AB546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86211D8"/>
    <w:multiLevelType w:val="hybridMultilevel"/>
    <w:tmpl w:val="0688088C"/>
    <w:lvl w:ilvl="0" w:tplc="1C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6"/>
  </w:num>
  <w:num w:numId="5">
    <w:abstractNumId w:val="31"/>
  </w:num>
  <w:num w:numId="6">
    <w:abstractNumId w:val="3"/>
  </w:num>
  <w:num w:numId="7">
    <w:abstractNumId w:val="36"/>
  </w:num>
  <w:num w:numId="8">
    <w:abstractNumId w:val="11"/>
  </w:num>
  <w:num w:numId="9">
    <w:abstractNumId w:val="18"/>
  </w:num>
  <w:num w:numId="10">
    <w:abstractNumId w:val="32"/>
  </w:num>
  <w:num w:numId="11">
    <w:abstractNumId w:val="2"/>
  </w:num>
  <w:num w:numId="12">
    <w:abstractNumId w:val="23"/>
  </w:num>
  <w:num w:numId="13">
    <w:abstractNumId w:val="16"/>
  </w:num>
  <w:num w:numId="14">
    <w:abstractNumId w:val="19"/>
  </w:num>
  <w:num w:numId="15">
    <w:abstractNumId w:val="10"/>
  </w:num>
  <w:num w:numId="16">
    <w:abstractNumId w:val="17"/>
  </w:num>
  <w:num w:numId="17">
    <w:abstractNumId w:val="34"/>
  </w:num>
  <w:num w:numId="18">
    <w:abstractNumId w:val="25"/>
  </w:num>
  <w:num w:numId="19">
    <w:abstractNumId w:val="21"/>
  </w:num>
  <w:num w:numId="20">
    <w:abstractNumId w:val="33"/>
  </w:num>
  <w:num w:numId="21">
    <w:abstractNumId w:val="28"/>
  </w:num>
  <w:num w:numId="22">
    <w:abstractNumId w:val="29"/>
  </w:num>
  <w:num w:numId="23">
    <w:abstractNumId w:val="9"/>
  </w:num>
  <w:num w:numId="24">
    <w:abstractNumId w:val="30"/>
  </w:num>
  <w:num w:numId="25">
    <w:abstractNumId w:val="5"/>
  </w:num>
  <w:num w:numId="26">
    <w:abstractNumId w:val="7"/>
  </w:num>
  <w:num w:numId="27">
    <w:abstractNumId w:val="27"/>
  </w:num>
  <w:num w:numId="28">
    <w:abstractNumId w:val="35"/>
  </w:num>
  <w:num w:numId="29">
    <w:abstractNumId w:val="6"/>
  </w:num>
  <w:num w:numId="30">
    <w:abstractNumId w:val="13"/>
  </w:num>
  <w:num w:numId="31">
    <w:abstractNumId w:val="1"/>
  </w:num>
  <w:num w:numId="32">
    <w:abstractNumId w:val="14"/>
  </w:num>
  <w:num w:numId="33">
    <w:abstractNumId w:val="20"/>
  </w:num>
  <w:num w:numId="34">
    <w:abstractNumId w:val="22"/>
  </w:num>
  <w:num w:numId="35">
    <w:abstractNumId w:val="37"/>
  </w:num>
  <w:num w:numId="36">
    <w:abstractNumId w:val="24"/>
  </w:num>
  <w:num w:numId="37">
    <w:abstractNumId w:val="12"/>
  </w:num>
  <w:num w:numId="3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344D"/>
    <w:rsid w:val="0002428C"/>
    <w:rsid w:val="0002582A"/>
    <w:rsid w:val="00026EC0"/>
    <w:rsid w:val="00030927"/>
    <w:rsid w:val="000363D2"/>
    <w:rsid w:val="0004105D"/>
    <w:rsid w:val="0004190C"/>
    <w:rsid w:val="00046588"/>
    <w:rsid w:val="00052CE2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E6772"/>
    <w:rsid w:val="000E7085"/>
    <w:rsid w:val="000E76BA"/>
    <w:rsid w:val="000F24EB"/>
    <w:rsid w:val="00105174"/>
    <w:rsid w:val="00110B8F"/>
    <w:rsid w:val="00120775"/>
    <w:rsid w:val="00130BDB"/>
    <w:rsid w:val="001314B9"/>
    <w:rsid w:val="00134C16"/>
    <w:rsid w:val="001354F5"/>
    <w:rsid w:val="00144111"/>
    <w:rsid w:val="00150753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D4F07"/>
    <w:rsid w:val="001E1BE7"/>
    <w:rsid w:val="001F41F3"/>
    <w:rsid w:val="001F445E"/>
    <w:rsid w:val="00203F6A"/>
    <w:rsid w:val="00213182"/>
    <w:rsid w:val="0021549B"/>
    <w:rsid w:val="002269FD"/>
    <w:rsid w:val="0023174C"/>
    <w:rsid w:val="00246AC5"/>
    <w:rsid w:val="00262ACE"/>
    <w:rsid w:val="00281574"/>
    <w:rsid w:val="002857B6"/>
    <w:rsid w:val="00286311"/>
    <w:rsid w:val="00291065"/>
    <w:rsid w:val="002A0DB1"/>
    <w:rsid w:val="002A646C"/>
    <w:rsid w:val="002B2B31"/>
    <w:rsid w:val="002B6D18"/>
    <w:rsid w:val="002C719B"/>
    <w:rsid w:val="002D0576"/>
    <w:rsid w:val="002D5BF7"/>
    <w:rsid w:val="002D7BBD"/>
    <w:rsid w:val="002E7253"/>
    <w:rsid w:val="002F22DD"/>
    <w:rsid w:val="0031652F"/>
    <w:rsid w:val="00322BA4"/>
    <w:rsid w:val="003401C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44E7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13199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91CE9"/>
    <w:rsid w:val="005A42CF"/>
    <w:rsid w:val="005B6209"/>
    <w:rsid w:val="005D1EEF"/>
    <w:rsid w:val="005E00A1"/>
    <w:rsid w:val="005E365A"/>
    <w:rsid w:val="005E6608"/>
    <w:rsid w:val="00612214"/>
    <w:rsid w:val="00625CD7"/>
    <w:rsid w:val="00630932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F2454"/>
    <w:rsid w:val="006F4705"/>
    <w:rsid w:val="006F63D7"/>
    <w:rsid w:val="00720D4C"/>
    <w:rsid w:val="00724689"/>
    <w:rsid w:val="00724E29"/>
    <w:rsid w:val="007261FA"/>
    <w:rsid w:val="00740A5A"/>
    <w:rsid w:val="00743593"/>
    <w:rsid w:val="007441C6"/>
    <w:rsid w:val="00745638"/>
    <w:rsid w:val="007540CF"/>
    <w:rsid w:val="00755C22"/>
    <w:rsid w:val="00757E02"/>
    <w:rsid w:val="00760BFE"/>
    <w:rsid w:val="00774F8F"/>
    <w:rsid w:val="00777A77"/>
    <w:rsid w:val="0078425B"/>
    <w:rsid w:val="00791471"/>
    <w:rsid w:val="007961D4"/>
    <w:rsid w:val="007A156D"/>
    <w:rsid w:val="007C0AC3"/>
    <w:rsid w:val="007C1863"/>
    <w:rsid w:val="007E1FE2"/>
    <w:rsid w:val="007E6925"/>
    <w:rsid w:val="007E7201"/>
    <w:rsid w:val="007F2B0B"/>
    <w:rsid w:val="00846897"/>
    <w:rsid w:val="00865132"/>
    <w:rsid w:val="008769EF"/>
    <w:rsid w:val="00881381"/>
    <w:rsid w:val="00892846"/>
    <w:rsid w:val="008A1398"/>
    <w:rsid w:val="008A1837"/>
    <w:rsid w:val="008B1BCF"/>
    <w:rsid w:val="008C1A56"/>
    <w:rsid w:val="008D4373"/>
    <w:rsid w:val="008E1C07"/>
    <w:rsid w:val="008E312C"/>
    <w:rsid w:val="008E78E6"/>
    <w:rsid w:val="008F366F"/>
    <w:rsid w:val="008F6A5A"/>
    <w:rsid w:val="009025C1"/>
    <w:rsid w:val="009054ED"/>
    <w:rsid w:val="00905C38"/>
    <w:rsid w:val="00911E50"/>
    <w:rsid w:val="00913892"/>
    <w:rsid w:val="0092193B"/>
    <w:rsid w:val="009229AD"/>
    <w:rsid w:val="0093653F"/>
    <w:rsid w:val="0094372F"/>
    <w:rsid w:val="009541F2"/>
    <w:rsid w:val="009551F2"/>
    <w:rsid w:val="00973033"/>
    <w:rsid w:val="009761A7"/>
    <w:rsid w:val="00983C6B"/>
    <w:rsid w:val="009868D6"/>
    <w:rsid w:val="0098762D"/>
    <w:rsid w:val="009A755B"/>
    <w:rsid w:val="009B0CAB"/>
    <w:rsid w:val="009C18AB"/>
    <w:rsid w:val="009D4F78"/>
    <w:rsid w:val="009D6016"/>
    <w:rsid w:val="009E0268"/>
    <w:rsid w:val="009E1C96"/>
    <w:rsid w:val="009F17AE"/>
    <w:rsid w:val="009F1B70"/>
    <w:rsid w:val="009F2D5C"/>
    <w:rsid w:val="00A07C13"/>
    <w:rsid w:val="00A136A6"/>
    <w:rsid w:val="00A13BBD"/>
    <w:rsid w:val="00A42301"/>
    <w:rsid w:val="00A4711C"/>
    <w:rsid w:val="00A5364A"/>
    <w:rsid w:val="00A607D1"/>
    <w:rsid w:val="00A623F2"/>
    <w:rsid w:val="00A64328"/>
    <w:rsid w:val="00A6432A"/>
    <w:rsid w:val="00A66729"/>
    <w:rsid w:val="00A7136B"/>
    <w:rsid w:val="00AA0855"/>
    <w:rsid w:val="00AA2AB0"/>
    <w:rsid w:val="00AA39AC"/>
    <w:rsid w:val="00AA41C1"/>
    <w:rsid w:val="00AC23C2"/>
    <w:rsid w:val="00AD7B7A"/>
    <w:rsid w:val="00AF0F1A"/>
    <w:rsid w:val="00AF5D91"/>
    <w:rsid w:val="00B021CE"/>
    <w:rsid w:val="00B07539"/>
    <w:rsid w:val="00B13369"/>
    <w:rsid w:val="00B170EA"/>
    <w:rsid w:val="00B22341"/>
    <w:rsid w:val="00B26AB3"/>
    <w:rsid w:val="00B353F7"/>
    <w:rsid w:val="00B40A2F"/>
    <w:rsid w:val="00B46E62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076D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A28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74CDB"/>
    <w:rsid w:val="00D764A0"/>
    <w:rsid w:val="00D76DA7"/>
    <w:rsid w:val="00D80139"/>
    <w:rsid w:val="00D84922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DF7B43"/>
    <w:rsid w:val="00E10170"/>
    <w:rsid w:val="00E1080E"/>
    <w:rsid w:val="00E17F42"/>
    <w:rsid w:val="00E21A66"/>
    <w:rsid w:val="00E30F9B"/>
    <w:rsid w:val="00E44AFC"/>
    <w:rsid w:val="00E55AFD"/>
    <w:rsid w:val="00EA4D5C"/>
    <w:rsid w:val="00EA53D2"/>
    <w:rsid w:val="00EA7A64"/>
    <w:rsid w:val="00EB2036"/>
    <w:rsid w:val="00EB54FA"/>
    <w:rsid w:val="00EB5C9A"/>
    <w:rsid w:val="00EC5379"/>
    <w:rsid w:val="00ED072E"/>
    <w:rsid w:val="00ED5CF6"/>
    <w:rsid w:val="00EE1177"/>
    <w:rsid w:val="00EF081C"/>
    <w:rsid w:val="00EF2E4B"/>
    <w:rsid w:val="00EF32C9"/>
    <w:rsid w:val="00F20EAD"/>
    <w:rsid w:val="00F220CD"/>
    <w:rsid w:val="00F26B86"/>
    <w:rsid w:val="00F31805"/>
    <w:rsid w:val="00F35432"/>
    <w:rsid w:val="00F36003"/>
    <w:rsid w:val="00F400F2"/>
    <w:rsid w:val="00F475A6"/>
    <w:rsid w:val="00F5419D"/>
    <w:rsid w:val="00F55893"/>
    <w:rsid w:val="00F63F57"/>
    <w:rsid w:val="00F646C9"/>
    <w:rsid w:val="00F739F4"/>
    <w:rsid w:val="00F80092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2019-12-03T14:28:00Z</cp:lastPrinted>
  <dcterms:created xsi:type="dcterms:W3CDTF">2019-12-11T09:48:00Z</dcterms:created>
  <dcterms:modified xsi:type="dcterms:W3CDTF">2019-12-11T09:48:00Z</dcterms:modified>
</cp:coreProperties>
</file>