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F15FF"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21/05/2021</w:t>
      </w:r>
    </w:p>
    <w:p w:rsidR="006D7B63" w:rsidRPr="000016F3" w:rsidRDefault="006F15F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14/2021</w:t>
      </w:r>
    </w:p>
    <w:p w:rsidR="00D1689E" w:rsidRDefault="006F15F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1444.  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0F6962" w:rsidRDefault="006F15F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0F6962" w:rsidRDefault="006F15F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(a) are the criteria of the allocation schools to quintiles across the Republic and in each province and (b) percentage of schools (</w:t>
      </w:r>
      <w:proofErr w:type="spellStart"/>
      <w:r>
        <w:rPr>
          <w:rFonts w:ascii="Arial" w:eastAsia="Arial" w:hAnsi="Arial" w:cs="Arial"/>
          <w:sz w:val="24"/>
          <w:szCs w:val="24"/>
        </w:rPr>
        <w:t>i</w:t>
      </w:r>
      <w:proofErr w:type="spellEnd"/>
      <w:r>
        <w:rPr>
          <w:rFonts w:ascii="Arial" w:eastAsia="Arial" w:hAnsi="Arial" w:cs="Arial"/>
          <w:sz w:val="24"/>
          <w:szCs w:val="24"/>
        </w:rPr>
        <w:t>) should be in each quintile in each province and (ii) are in fact allocated to each quintile in each province?     </w:t>
      </w:r>
    </w:p>
    <w:p w:rsidR="006D7B63" w:rsidRDefault="006F15F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F6962" w:rsidRDefault="006F15FF">
      <w:pPr>
        <w:jc w:val="both"/>
        <w:rPr>
          <w:rFonts w:ascii="Times New Roman" w:eastAsia="Times New Roman" w:hAnsi="Times New Roman" w:cs="Times New Roman"/>
          <w:sz w:val="24"/>
          <w:szCs w:val="24"/>
        </w:rPr>
      </w:pPr>
      <w:r>
        <w:rPr>
          <w:rFonts w:ascii="Arial" w:eastAsia="Arial" w:hAnsi="Arial" w:cs="Arial"/>
          <w:sz w:val="24"/>
          <w:szCs w:val="24"/>
        </w:rPr>
        <w:t>What (a) are the criteria of the allocation schools to quintiles across the Republic and in each province and (b) percentage of schools (</w:t>
      </w:r>
      <w:proofErr w:type="spellStart"/>
      <w:r>
        <w:rPr>
          <w:rFonts w:ascii="Arial" w:eastAsia="Arial" w:hAnsi="Arial" w:cs="Arial"/>
          <w:sz w:val="24"/>
          <w:szCs w:val="24"/>
        </w:rPr>
        <w:t>i</w:t>
      </w:r>
      <w:proofErr w:type="spellEnd"/>
      <w:r>
        <w:rPr>
          <w:rFonts w:ascii="Arial" w:eastAsia="Arial" w:hAnsi="Arial" w:cs="Arial"/>
          <w:sz w:val="24"/>
          <w:szCs w:val="24"/>
        </w:rPr>
        <w:t>) should be in each quintile in each province and (ii) are in fact allocated in each quintile in each province.</w:t>
      </w:r>
    </w:p>
    <w:p w:rsidR="000F6962" w:rsidRDefault="006F15FF">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National Norms and Standards for School Funding (NNSSF) prescribes that the Provincial Education Departments (PEDs), when determining the relative poverty of a school and consequently in which quintile a school is placed, should base their decisions on the relative poverty of the community around the school, using national census data; and taking into account indicators, such as income; dependency ratio (or unemployment rate); and level of education of the community (or literacy rate). Schools may dispute the correctness of the poverty score assigned through representation to the provincial Head of Department.</w:t>
      </w:r>
    </w:p>
    <w:p w:rsidR="000F6962" w:rsidRDefault="006F15FF">
      <w:pPr>
        <w:spacing w:before="240"/>
        <w:ind w:left="420"/>
        <w:jc w:val="both"/>
        <w:rPr>
          <w:rFonts w:ascii="Times New Roman" w:eastAsia="Times New Roman" w:hAnsi="Times New Roman" w:cs="Times New Roman"/>
          <w:sz w:val="24"/>
          <w:szCs w:val="24"/>
        </w:rPr>
      </w:pPr>
      <w:r>
        <w:rPr>
          <w:rFonts w:ascii="Arial" w:eastAsia="Arial" w:hAnsi="Arial" w:cs="Arial"/>
          <w:sz w:val="24"/>
          <w:szCs w:val="24"/>
        </w:rPr>
        <w:t>The cut-off line between quintiles within a province is guided by the national poverty distribution table as provided in the school funding policy (Paragraph 111 of the NNSSF). This poverty distribution table basically determines the percentage of learners within a province which should be in the different quintiles.</w:t>
      </w:r>
    </w:p>
    <w:p w:rsidR="000F6962" w:rsidRDefault="006F15FF">
      <w:pPr>
        <w:spacing w:before="240"/>
        <w:ind w:left="420"/>
        <w:jc w:val="both"/>
        <w:rPr>
          <w:rFonts w:ascii="Times New Roman" w:eastAsia="Times New Roman" w:hAnsi="Times New Roman" w:cs="Times New Roman"/>
          <w:sz w:val="24"/>
          <w:szCs w:val="24"/>
        </w:rPr>
      </w:pPr>
      <w:r>
        <w:rPr>
          <w:rFonts w:ascii="Arial" w:eastAsia="Arial" w:hAnsi="Arial" w:cs="Arial"/>
          <w:sz w:val="24"/>
          <w:szCs w:val="24"/>
        </w:rPr>
        <w:t> </w:t>
      </w:r>
    </w:p>
    <w:p w:rsidR="000F6962" w:rsidRDefault="006F15FF">
      <w:pPr>
        <w:spacing w:before="240"/>
        <w:ind w:left="420"/>
        <w:jc w:val="both"/>
        <w:rPr>
          <w:rFonts w:ascii="Times New Roman" w:eastAsia="Times New Roman" w:hAnsi="Times New Roman" w:cs="Times New Roman"/>
          <w:sz w:val="24"/>
          <w:szCs w:val="24"/>
        </w:rPr>
      </w:pPr>
      <w:r>
        <w:rPr>
          <w:rFonts w:ascii="Arial" w:eastAsia="Arial" w:hAnsi="Arial" w:cs="Arial"/>
          <w:sz w:val="24"/>
          <w:szCs w:val="24"/>
        </w:rPr>
        <w:t>(b)(</w:t>
      </w:r>
      <w:proofErr w:type="spellStart"/>
      <w:r>
        <w:rPr>
          <w:rFonts w:ascii="Arial" w:eastAsia="Arial" w:hAnsi="Arial" w:cs="Arial"/>
          <w:sz w:val="24"/>
          <w:szCs w:val="24"/>
        </w:rPr>
        <w:t>i</w:t>
      </w:r>
      <w:proofErr w:type="spellEnd"/>
      <w:r>
        <w:rPr>
          <w:rFonts w:ascii="Arial" w:eastAsia="Arial" w:hAnsi="Arial" w:cs="Arial"/>
          <w:sz w:val="24"/>
          <w:szCs w:val="24"/>
        </w:rPr>
        <w:t>) Each year, the Minister of Basic Education publishes a national poverty distribution table, which also indicates the breakdown of the 60% of learners that would not pay school fees. Guided by that table, provinces are required to submit their list of schools that would be no-fee paying schools for the following year. The Minister also annually publishes the no-fee paying schools lists. The following Gazetted ‘national poverty distribution table’ or ‘poverty table’ should be used by provinces in determining how the target table (Paragraph 109 of the NNSSF) finds expression in each province. For example, Eastern Cape must consider the national quintile 1 target to be applicable to as many schools on the resource targeting list as it takes to cover 27.3% of learners, starting from the poorest school.</w:t>
      </w:r>
    </w:p>
    <w:tbl>
      <w:tblPr>
        <w:tblW w:w="9467"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1010"/>
        <w:gridCol w:w="1393"/>
        <w:gridCol w:w="1611"/>
        <w:gridCol w:w="1319"/>
        <w:gridCol w:w="1424"/>
        <w:gridCol w:w="1341"/>
        <w:gridCol w:w="1369"/>
      </w:tblGrid>
      <w:tr w:rsidR="000F6962">
        <w:trPr>
          <w:trHeight w:val="360"/>
          <w:tblCellSpacing w:w="0" w:type="dxa"/>
        </w:trPr>
        <w:tc>
          <w:tcPr>
            <w:tcW w:w="9527" w:type="dxa"/>
            <w:gridSpan w:val="7"/>
            <w:tcBorders>
              <w:top w:val="inset" w:sz="6" w:space="0" w:color="808080"/>
              <w:left w:val="inset" w:sz="6" w:space="0" w:color="808080"/>
              <w:bottom w:val="inset" w:sz="6" w:space="0" w:color="808080"/>
              <w:right w:val="inset" w:sz="6" w:space="0" w:color="808080"/>
            </w:tcBorders>
            <w:shd w:val="clear" w:color="auto" w:fill="C6D9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National Poverty Distribution Table</w:t>
            </w:r>
          </w:p>
        </w:tc>
      </w:tr>
      <w:tr w:rsidR="000F6962">
        <w:trPr>
          <w:trHeight w:val="360"/>
          <w:tblCellSpacing w:w="0" w:type="dxa"/>
        </w:trPr>
        <w:tc>
          <w:tcPr>
            <w:tcW w:w="9527" w:type="dxa"/>
            <w:gridSpan w:val="7"/>
            <w:tcBorders>
              <w:top w:val="inset" w:sz="6" w:space="0" w:color="808080"/>
              <w:left w:val="inset" w:sz="6" w:space="0" w:color="808080"/>
              <w:bottom w:val="inset" w:sz="6" w:space="0" w:color="808080"/>
              <w:right w:val="inset" w:sz="6" w:space="0" w:color="808080"/>
            </w:tcBorders>
            <w:shd w:val="clear" w:color="auto" w:fill="DBE5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Quintiles</w:t>
            </w:r>
          </w:p>
        </w:tc>
      </w:tr>
      <w:tr w:rsidR="000F6962">
        <w:trPr>
          <w:trHeight w:val="348"/>
          <w:tblCellSpacing w:w="0" w:type="dxa"/>
        </w:trPr>
        <w:tc>
          <w:tcPr>
            <w:tcW w:w="1031"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t>
            </w:r>
          </w:p>
        </w:tc>
        <w:tc>
          <w:tcPr>
            <w:tcW w:w="1414"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 poorest</w:t>
            </w:r>
          </w:p>
        </w:tc>
        <w:tc>
          <w:tcPr>
            <w:tcW w:w="1689"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w:t>
            </w:r>
          </w:p>
        </w:tc>
        <w:tc>
          <w:tcPr>
            <w:tcW w:w="1371"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w:t>
            </w:r>
          </w:p>
        </w:tc>
        <w:tc>
          <w:tcPr>
            <w:tcW w:w="1485"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w:t>
            </w:r>
          </w:p>
        </w:tc>
        <w:tc>
          <w:tcPr>
            <w:tcW w:w="1395"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w:t>
            </w:r>
          </w:p>
        </w:tc>
        <w:tc>
          <w:tcPr>
            <w:tcW w:w="1412"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lastRenderedPageBreak/>
              <w:t>EC</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27.3</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24.7</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19.6</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11.4</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FS</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20.5</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20.9</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22.4</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20.8</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15.4</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GP</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14.1</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14.7</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17.9</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21.9</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31.4</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KZN</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22.1</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23.2</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20.2</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18.7</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15.8</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LP</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28.2</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24.6</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24.2</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14.9</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23.1</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24.1</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21.5</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17.7</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13.5</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NC</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21.5</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19.3</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20.7</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21.4</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17.1</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NW</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25.6</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22.3</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20.8</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17.6</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13.7</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76"/>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WC</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8.6</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13.3</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18.4</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31.7</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76"/>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20</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100%</w:t>
            </w:r>
          </w:p>
        </w:tc>
      </w:tr>
    </w:tbl>
    <w:p w:rsidR="000F6962" w:rsidRDefault="006F15FF">
      <w:pPr>
        <w:spacing w:before="240"/>
        <w:ind w:right="-570"/>
        <w:jc w:val="both"/>
        <w:rPr>
          <w:rFonts w:ascii="Times New Roman" w:eastAsia="Times New Roman" w:hAnsi="Times New Roman" w:cs="Times New Roman"/>
          <w:sz w:val="24"/>
          <w:szCs w:val="24"/>
        </w:rPr>
      </w:pPr>
      <w:r>
        <w:rPr>
          <w:rFonts w:ascii="Arial" w:eastAsia="Arial" w:hAnsi="Arial" w:cs="Arial"/>
          <w:sz w:val="24"/>
          <w:szCs w:val="24"/>
        </w:rPr>
        <w:t> </w:t>
      </w:r>
    </w:p>
    <w:p w:rsidR="000F6962" w:rsidRDefault="006F15FF">
      <w:pPr>
        <w:spacing w:before="240"/>
        <w:jc w:val="both"/>
        <w:rPr>
          <w:rFonts w:ascii="Times New Roman" w:eastAsia="Times New Roman" w:hAnsi="Times New Roman" w:cs="Times New Roman"/>
          <w:sz w:val="24"/>
          <w:szCs w:val="24"/>
        </w:rPr>
      </w:pPr>
      <w:r>
        <w:rPr>
          <w:rFonts w:ascii="Arial" w:eastAsia="Arial" w:hAnsi="Arial" w:cs="Arial"/>
          <w:sz w:val="24"/>
          <w:szCs w:val="24"/>
        </w:rPr>
        <w:t>(b)(ii)    Percentage of learners that are in fact allocated in each quintile in each province:</w:t>
      </w:r>
    </w:p>
    <w:tbl>
      <w:tblPr>
        <w:tblW w:w="9467"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997"/>
        <w:gridCol w:w="1382"/>
        <w:gridCol w:w="1614"/>
        <w:gridCol w:w="1336"/>
        <w:gridCol w:w="1435"/>
        <w:gridCol w:w="1357"/>
        <w:gridCol w:w="1346"/>
      </w:tblGrid>
      <w:tr w:rsidR="000F6962">
        <w:trPr>
          <w:trHeight w:val="360"/>
          <w:tblCellSpacing w:w="0" w:type="dxa"/>
        </w:trPr>
        <w:tc>
          <w:tcPr>
            <w:tcW w:w="9527" w:type="dxa"/>
            <w:gridSpan w:val="7"/>
            <w:tcBorders>
              <w:top w:val="inset" w:sz="6" w:space="0" w:color="808080"/>
              <w:left w:val="inset" w:sz="6" w:space="0" w:color="808080"/>
              <w:bottom w:val="inset" w:sz="6" w:space="0" w:color="808080"/>
              <w:right w:val="inset" w:sz="6" w:space="0" w:color="808080"/>
            </w:tcBorders>
            <w:shd w:val="clear" w:color="auto" w:fill="C6D9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Actual percentage of learners accommodated in each quintile in 2021</w:t>
            </w:r>
          </w:p>
        </w:tc>
      </w:tr>
      <w:tr w:rsidR="000F6962">
        <w:trPr>
          <w:trHeight w:val="360"/>
          <w:tblCellSpacing w:w="0" w:type="dxa"/>
        </w:trPr>
        <w:tc>
          <w:tcPr>
            <w:tcW w:w="9527" w:type="dxa"/>
            <w:gridSpan w:val="7"/>
            <w:tcBorders>
              <w:top w:val="inset" w:sz="6" w:space="0" w:color="808080"/>
              <w:left w:val="inset" w:sz="6" w:space="0" w:color="808080"/>
              <w:bottom w:val="inset" w:sz="6" w:space="0" w:color="808080"/>
              <w:right w:val="inset" w:sz="6" w:space="0" w:color="808080"/>
            </w:tcBorders>
            <w:shd w:val="clear" w:color="auto" w:fill="DBE5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Quintiles</w:t>
            </w:r>
          </w:p>
        </w:tc>
      </w:tr>
      <w:tr w:rsidR="000F6962">
        <w:trPr>
          <w:trHeight w:val="348"/>
          <w:tblCellSpacing w:w="0" w:type="dxa"/>
        </w:trPr>
        <w:tc>
          <w:tcPr>
            <w:tcW w:w="1031"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t>
            </w:r>
          </w:p>
        </w:tc>
        <w:tc>
          <w:tcPr>
            <w:tcW w:w="1414"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 poorest</w:t>
            </w:r>
          </w:p>
        </w:tc>
        <w:tc>
          <w:tcPr>
            <w:tcW w:w="1689"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w:t>
            </w:r>
          </w:p>
        </w:tc>
        <w:tc>
          <w:tcPr>
            <w:tcW w:w="1371"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3</w:t>
            </w:r>
          </w:p>
        </w:tc>
        <w:tc>
          <w:tcPr>
            <w:tcW w:w="1485"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4</w:t>
            </w:r>
          </w:p>
        </w:tc>
        <w:tc>
          <w:tcPr>
            <w:tcW w:w="1395"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5</w:t>
            </w:r>
          </w:p>
        </w:tc>
        <w:tc>
          <w:tcPr>
            <w:tcW w:w="1412" w:type="dxa"/>
            <w:tcBorders>
              <w:top w:val="inset" w:sz="6" w:space="0" w:color="808080"/>
              <w:left w:val="inset" w:sz="6" w:space="0" w:color="808080"/>
              <w:bottom w:val="inset" w:sz="6" w:space="0" w:color="808080"/>
              <w:right w:val="inset" w:sz="6" w:space="0" w:color="808080"/>
            </w:tcBorders>
            <w:shd w:val="clear" w:color="auto" w:fill="DCE6F1"/>
            <w:tcMar>
              <w:top w:w="22" w:type="dxa"/>
              <w:left w:w="22" w:type="dxa"/>
              <w:bottom w:w="22" w:type="dxa"/>
              <w:right w:w="22" w:type="dxa"/>
            </w:tcMar>
            <w:vAlign w:val="center"/>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EC</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33,11%</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20,00%</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44,90%</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FS</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28,61%</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22,75%</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28,88%</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9,58%</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10,17%</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GP</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14,83%</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15,32%</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18,21%</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21,09%</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30,55%</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KZN</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22,47%</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26,40%</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32,72%</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10,11%</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8,31%</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LP</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34,82%</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39,44%</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21,35%</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1,43%</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2,96%</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MP</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45,22%</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37,61%</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9,67%</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3,90%</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3,60%</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lastRenderedPageBreak/>
              <w:t>NC</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23,33%</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23,58%</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25,18%</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16,30%</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11,62%</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64"/>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NW</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28,77%</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19,92%</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40,04%</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10,53%</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0,75%</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76"/>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WC</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9,85%</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13,69%</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17,80%</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27,21%</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31,45%</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100%</w:t>
            </w:r>
          </w:p>
        </w:tc>
      </w:tr>
      <w:tr w:rsidR="000F6962">
        <w:trPr>
          <w:trHeight w:val="276"/>
          <w:tblCellSpacing w:w="0" w:type="dxa"/>
        </w:trPr>
        <w:tc>
          <w:tcPr>
            <w:tcW w:w="103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SA</w:t>
            </w:r>
          </w:p>
        </w:tc>
        <w:tc>
          <w:tcPr>
            <w:tcW w:w="141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25,96%</w:t>
            </w:r>
          </w:p>
        </w:tc>
        <w:tc>
          <w:tcPr>
            <w:tcW w:w="1689"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24,47%</w:t>
            </w:r>
          </w:p>
        </w:tc>
        <w:tc>
          <w:tcPr>
            <w:tcW w:w="137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27,13%</w:t>
            </w:r>
          </w:p>
        </w:tc>
        <w:tc>
          <w:tcPr>
            <w:tcW w:w="14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11,24%</w:t>
            </w:r>
          </w:p>
        </w:tc>
        <w:tc>
          <w:tcPr>
            <w:tcW w:w="13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11,16%</w:t>
            </w:r>
          </w:p>
        </w:tc>
        <w:tc>
          <w:tcPr>
            <w:tcW w:w="141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bottom"/>
            <w:hideMark/>
          </w:tcPr>
          <w:p w:rsidR="000F6962" w:rsidRDefault="006F15FF">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100%</w:t>
            </w:r>
          </w:p>
        </w:tc>
      </w:tr>
    </w:tbl>
    <w:p w:rsidR="000F6962" w:rsidRDefault="006F15FF">
      <w:pPr>
        <w:spacing w:before="240"/>
        <w:ind w:left="135"/>
        <w:jc w:val="both"/>
        <w:rPr>
          <w:rFonts w:ascii="Times New Roman" w:eastAsia="Times New Roman" w:hAnsi="Times New Roman" w:cs="Times New Roman"/>
          <w:sz w:val="24"/>
          <w:szCs w:val="24"/>
        </w:rPr>
      </w:pPr>
      <w:r>
        <w:rPr>
          <w:rFonts w:ascii="Arial" w:eastAsia="Arial" w:hAnsi="Arial" w:cs="Arial"/>
          <w:sz w:val="24"/>
          <w:szCs w:val="24"/>
        </w:rPr>
        <w:t xml:space="preserve">All PEDs </w:t>
      </w:r>
      <w:proofErr w:type="spellStart"/>
      <w:r>
        <w:rPr>
          <w:rFonts w:ascii="Arial" w:eastAsia="Arial" w:hAnsi="Arial" w:cs="Arial"/>
          <w:sz w:val="24"/>
          <w:szCs w:val="24"/>
        </w:rPr>
        <w:t>accomodate</w:t>
      </w:r>
      <w:proofErr w:type="spellEnd"/>
      <w:r>
        <w:rPr>
          <w:rFonts w:ascii="Arial" w:eastAsia="Arial" w:hAnsi="Arial" w:cs="Arial"/>
          <w:sz w:val="24"/>
          <w:szCs w:val="24"/>
        </w:rPr>
        <w:t xml:space="preserve"> more learners in no-fee schools than have been provided for by the policy. In 2021, approximately 87% of all schools have been declared as no-fee paying schools, accommodating approximately 83% of all learners nationally.</w:t>
      </w:r>
    </w:p>
    <w:p w:rsidR="007266A4" w:rsidRPr="00E455F4" w:rsidRDefault="007266A4" w:rsidP="00E455F4">
      <w:pPr>
        <w:spacing w:after="0" w:line="360" w:lineRule="atLeast"/>
        <w:jc w:val="both"/>
        <w:rPr>
          <w:rFonts w:ascii="Arial" w:eastAsia="Calibri" w:hAnsi="Arial" w:cs="Arial"/>
        </w:rPr>
      </w:pPr>
    </w:p>
    <w:sectPr w:rsidR="007266A4" w:rsidRPr="00E455F4" w:rsidSect="00B83EA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CC" w:rsidRDefault="00936BCC">
      <w:pPr>
        <w:spacing w:after="0" w:line="240" w:lineRule="auto"/>
      </w:pPr>
      <w:r>
        <w:separator/>
      </w:r>
    </w:p>
  </w:endnote>
  <w:endnote w:type="continuationSeparator" w:id="0">
    <w:p w:rsidR="00936BCC" w:rsidRDefault="00936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CC" w:rsidRDefault="00936BCC">
      <w:pPr>
        <w:spacing w:after="0" w:line="240" w:lineRule="auto"/>
      </w:pPr>
      <w:r>
        <w:separator/>
      </w:r>
    </w:p>
  </w:footnote>
  <w:footnote w:type="continuationSeparator" w:id="0">
    <w:p w:rsidR="00936BCC" w:rsidRDefault="00936B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F15F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F15F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F15F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1444.  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ADC4DF96">
      <w:start w:val="1"/>
      <w:numFmt w:val="lowerLetter"/>
      <w:lvlText w:val="(%1)"/>
      <w:lvlJc w:val="left"/>
      <w:pPr>
        <w:ind w:left="1080" w:hanging="360"/>
      </w:pPr>
      <w:rPr>
        <w:rFonts w:eastAsia="Calibri" w:hint="default"/>
        <w:sz w:val="24"/>
      </w:rPr>
    </w:lvl>
    <w:lvl w:ilvl="1" w:tplc="1CA2E7B0" w:tentative="1">
      <w:start w:val="1"/>
      <w:numFmt w:val="lowerLetter"/>
      <w:lvlText w:val="%2."/>
      <w:lvlJc w:val="left"/>
      <w:pPr>
        <w:ind w:left="1800" w:hanging="360"/>
      </w:pPr>
    </w:lvl>
    <w:lvl w:ilvl="2" w:tplc="E64EEE98" w:tentative="1">
      <w:start w:val="1"/>
      <w:numFmt w:val="lowerRoman"/>
      <w:lvlText w:val="%3."/>
      <w:lvlJc w:val="right"/>
      <w:pPr>
        <w:ind w:left="2520" w:hanging="180"/>
      </w:pPr>
    </w:lvl>
    <w:lvl w:ilvl="3" w:tplc="CAB40362" w:tentative="1">
      <w:start w:val="1"/>
      <w:numFmt w:val="decimal"/>
      <w:lvlText w:val="%4."/>
      <w:lvlJc w:val="left"/>
      <w:pPr>
        <w:ind w:left="3240" w:hanging="360"/>
      </w:pPr>
    </w:lvl>
    <w:lvl w:ilvl="4" w:tplc="399226F6" w:tentative="1">
      <w:start w:val="1"/>
      <w:numFmt w:val="lowerLetter"/>
      <w:lvlText w:val="%5."/>
      <w:lvlJc w:val="left"/>
      <w:pPr>
        <w:ind w:left="3960" w:hanging="360"/>
      </w:pPr>
    </w:lvl>
    <w:lvl w:ilvl="5" w:tplc="052A7532" w:tentative="1">
      <w:start w:val="1"/>
      <w:numFmt w:val="lowerRoman"/>
      <w:lvlText w:val="%6."/>
      <w:lvlJc w:val="right"/>
      <w:pPr>
        <w:ind w:left="4680" w:hanging="180"/>
      </w:pPr>
    </w:lvl>
    <w:lvl w:ilvl="6" w:tplc="95A8EC2E" w:tentative="1">
      <w:start w:val="1"/>
      <w:numFmt w:val="decimal"/>
      <w:lvlText w:val="%7."/>
      <w:lvlJc w:val="left"/>
      <w:pPr>
        <w:ind w:left="5400" w:hanging="360"/>
      </w:pPr>
    </w:lvl>
    <w:lvl w:ilvl="7" w:tplc="3926F0E8" w:tentative="1">
      <w:start w:val="1"/>
      <w:numFmt w:val="lowerLetter"/>
      <w:lvlText w:val="%8."/>
      <w:lvlJc w:val="left"/>
      <w:pPr>
        <w:ind w:left="6120" w:hanging="360"/>
      </w:pPr>
    </w:lvl>
    <w:lvl w:ilvl="8" w:tplc="B04E0C06" w:tentative="1">
      <w:start w:val="1"/>
      <w:numFmt w:val="lowerRoman"/>
      <w:lvlText w:val="%9."/>
      <w:lvlJc w:val="right"/>
      <w:pPr>
        <w:ind w:left="6840" w:hanging="180"/>
      </w:pPr>
    </w:lvl>
  </w:abstractNum>
  <w:abstractNum w:abstractNumId="1">
    <w:nsid w:val="48202B8E"/>
    <w:multiLevelType w:val="hybridMultilevel"/>
    <w:tmpl w:val="8B24878A"/>
    <w:lvl w:ilvl="0" w:tplc="0AC80D1C">
      <w:start w:val="1"/>
      <w:numFmt w:val="lowerLetter"/>
      <w:lvlText w:val="(%1)"/>
      <w:lvlJc w:val="left"/>
      <w:pPr>
        <w:ind w:left="786" w:hanging="360"/>
      </w:pPr>
      <w:rPr>
        <w:rFonts w:hint="default"/>
        <w:sz w:val="24"/>
        <w:szCs w:val="24"/>
      </w:rPr>
    </w:lvl>
    <w:lvl w:ilvl="1" w:tplc="5A54CC84" w:tentative="1">
      <w:start w:val="1"/>
      <w:numFmt w:val="lowerLetter"/>
      <w:lvlText w:val="%2."/>
      <w:lvlJc w:val="left"/>
      <w:pPr>
        <w:ind w:left="1506" w:hanging="360"/>
      </w:pPr>
    </w:lvl>
    <w:lvl w:ilvl="2" w:tplc="90520D80" w:tentative="1">
      <w:start w:val="1"/>
      <w:numFmt w:val="lowerRoman"/>
      <w:lvlText w:val="%3."/>
      <w:lvlJc w:val="right"/>
      <w:pPr>
        <w:ind w:left="2226" w:hanging="180"/>
      </w:pPr>
    </w:lvl>
    <w:lvl w:ilvl="3" w:tplc="42CAC81E" w:tentative="1">
      <w:start w:val="1"/>
      <w:numFmt w:val="decimal"/>
      <w:lvlText w:val="%4."/>
      <w:lvlJc w:val="left"/>
      <w:pPr>
        <w:ind w:left="2946" w:hanging="360"/>
      </w:pPr>
    </w:lvl>
    <w:lvl w:ilvl="4" w:tplc="B48CE4D0" w:tentative="1">
      <w:start w:val="1"/>
      <w:numFmt w:val="lowerLetter"/>
      <w:lvlText w:val="%5."/>
      <w:lvlJc w:val="left"/>
      <w:pPr>
        <w:ind w:left="3666" w:hanging="360"/>
      </w:pPr>
    </w:lvl>
    <w:lvl w:ilvl="5" w:tplc="90CC718E" w:tentative="1">
      <w:start w:val="1"/>
      <w:numFmt w:val="lowerRoman"/>
      <w:lvlText w:val="%6."/>
      <w:lvlJc w:val="right"/>
      <w:pPr>
        <w:ind w:left="4386" w:hanging="180"/>
      </w:pPr>
    </w:lvl>
    <w:lvl w:ilvl="6" w:tplc="B086768E" w:tentative="1">
      <w:start w:val="1"/>
      <w:numFmt w:val="decimal"/>
      <w:lvlText w:val="%7."/>
      <w:lvlJc w:val="left"/>
      <w:pPr>
        <w:ind w:left="5106" w:hanging="360"/>
      </w:pPr>
    </w:lvl>
    <w:lvl w:ilvl="7" w:tplc="C6ECC3D6" w:tentative="1">
      <w:start w:val="1"/>
      <w:numFmt w:val="lowerLetter"/>
      <w:lvlText w:val="%8."/>
      <w:lvlJc w:val="left"/>
      <w:pPr>
        <w:ind w:left="5826" w:hanging="360"/>
      </w:pPr>
    </w:lvl>
    <w:lvl w:ilvl="8" w:tplc="6AE664DC"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0F6962"/>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15FF"/>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6BCC"/>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83EA3"/>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D39B1"/>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6910E-50FD-4A48-A68D-948144D5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2021-06-09T12:21:00Z</dcterms:created>
  <dcterms:modified xsi:type="dcterms:W3CDTF">2021-06-09T12:21:00Z</dcterms:modified>
</cp:coreProperties>
</file>