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A3F" w:rsidRPr="00E938DE" w:rsidRDefault="00BC5A3F" w:rsidP="004A7866">
      <w:pPr>
        <w:spacing w:line="360" w:lineRule="auto"/>
        <w:jc w:val="center"/>
        <w:rPr>
          <w:rFonts w:ascii="Arial" w:hAnsi="Arial" w:cs="Arial"/>
          <w:b/>
          <w:sz w:val="22"/>
          <w:szCs w:val="22"/>
        </w:rPr>
      </w:pPr>
      <w:bookmarkStart w:id="0" w:name="_Hlk71528634"/>
      <w:bookmarkStart w:id="1" w:name="_Hlk34206045"/>
      <w:r w:rsidRPr="00E938DE">
        <w:rPr>
          <w:rFonts w:ascii="Arial" w:hAnsi="Arial" w:cs="Arial"/>
          <w:b/>
          <w:sz w:val="22"/>
          <w:szCs w:val="22"/>
        </w:rPr>
        <w:t xml:space="preserve">NATIONAL </w:t>
      </w:r>
      <w:r w:rsidR="007A7DF8">
        <w:rPr>
          <w:rFonts w:ascii="Arial" w:hAnsi="Arial" w:cs="Arial"/>
          <w:b/>
          <w:sz w:val="22"/>
          <w:szCs w:val="22"/>
        </w:rPr>
        <w:t>ASSEMBLY</w:t>
      </w:r>
    </w:p>
    <w:p w:rsidR="00BC5A3F" w:rsidRPr="00E150D2" w:rsidRDefault="00BC5A3F" w:rsidP="004A7866">
      <w:pPr>
        <w:spacing w:line="360" w:lineRule="auto"/>
        <w:jc w:val="center"/>
        <w:rPr>
          <w:rFonts w:ascii="Arial" w:hAnsi="Arial" w:cs="Arial"/>
          <w:b/>
          <w:sz w:val="22"/>
          <w:szCs w:val="22"/>
        </w:rPr>
      </w:pPr>
      <w:r w:rsidRPr="00E150D2">
        <w:rPr>
          <w:rFonts w:ascii="Arial" w:hAnsi="Arial" w:cs="Arial"/>
          <w:b/>
          <w:sz w:val="22"/>
          <w:szCs w:val="22"/>
        </w:rPr>
        <w:t xml:space="preserve">QUESTION FOR </w:t>
      </w:r>
      <w:r w:rsidR="00E938DE" w:rsidRPr="00E150D2">
        <w:rPr>
          <w:rFonts w:ascii="Arial" w:hAnsi="Arial" w:cs="Arial"/>
          <w:b/>
          <w:sz w:val="22"/>
          <w:szCs w:val="22"/>
        </w:rPr>
        <w:t>WRITTEN</w:t>
      </w:r>
      <w:r w:rsidRPr="00E150D2">
        <w:rPr>
          <w:rFonts w:ascii="Arial" w:hAnsi="Arial" w:cs="Arial"/>
          <w:b/>
          <w:sz w:val="22"/>
          <w:szCs w:val="22"/>
        </w:rPr>
        <w:t xml:space="preserve"> REPLY</w:t>
      </w:r>
    </w:p>
    <w:p w:rsidR="00BC5A3F" w:rsidRPr="000147EE" w:rsidRDefault="00BC5A3F" w:rsidP="004A7866">
      <w:pPr>
        <w:spacing w:line="360" w:lineRule="auto"/>
        <w:jc w:val="center"/>
        <w:rPr>
          <w:rFonts w:ascii="Arial" w:hAnsi="Arial" w:cs="Arial"/>
          <w:b/>
          <w:sz w:val="22"/>
          <w:szCs w:val="22"/>
        </w:rPr>
      </w:pPr>
      <w:bookmarkStart w:id="2" w:name="_Hlk65832587"/>
      <w:bookmarkStart w:id="3" w:name="_Hlk55548705"/>
      <w:r w:rsidRPr="00C60A55">
        <w:rPr>
          <w:rFonts w:ascii="Arial" w:hAnsi="Arial" w:cs="Arial"/>
          <w:b/>
          <w:sz w:val="22"/>
          <w:szCs w:val="22"/>
        </w:rPr>
        <w:t xml:space="preserve">QUESTION NUMBER: </w:t>
      </w:r>
      <w:bookmarkStart w:id="4" w:name="_Hlk34208942"/>
      <w:bookmarkStart w:id="5" w:name="_Hlk49113957"/>
      <w:r w:rsidR="007D08BA">
        <w:rPr>
          <w:rFonts w:ascii="Arial" w:hAnsi="Arial" w:cs="Arial"/>
          <w:b/>
          <w:bCs/>
          <w:sz w:val="22"/>
          <w:lang w:val="en-GB"/>
        </w:rPr>
        <w:t>14</w:t>
      </w:r>
      <w:r w:rsidR="005B5869">
        <w:rPr>
          <w:rFonts w:ascii="Arial" w:hAnsi="Arial" w:cs="Arial"/>
          <w:b/>
          <w:bCs/>
          <w:sz w:val="22"/>
          <w:lang w:val="en-GB"/>
        </w:rPr>
        <w:t>43</w:t>
      </w:r>
      <w:r w:rsidR="008D3E86">
        <w:rPr>
          <w:rFonts w:ascii="Arial" w:hAnsi="Arial" w:cs="Arial"/>
          <w:b/>
          <w:bCs/>
          <w:sz w:val="22"/>
          <w:lang w:val="en-GB"/>
        </w:rPr>
        <w:t xml:space="preserve"> </w:t>
      </w:r>
      <w:r w:rsidRPr="000147EE">
        <w:rPr>
          <w:rFonts w:ascii="Arial" w:hAnsi="Arial" w:cs="Arial"/>
          <w:b/>
          <w:sz w:val="22"/>
          <w:szCs w:val="22"/>
        </w:rPr>
        <w:t>[</w:t>
      </w:r>
      <w:r w:rsidR="007A7DF8">
        <w:rPr>
          <w:rFonts w:ascii="Arial" w:hAnsi="Arial" w:cs="Arial"/>
          <w:b/>
          <w:sz w:val="22"/>
          <w:szCs w:val="22"/>
          <w:lang w:val="en-ZA"/>
        </w:rPr>
        <w:t>N</w:t>
      </w:r>
      <w:r w:rsidR="00A84F7F" w:rsidRPr="00A84F7F">
        <w:rPr>
          <w:rFonts w:ascii="Arial" w:hAnsi="Arial" w:cs="Arial"/>
          <w:b/>
          <w:sz w:val="22"/>
          <w:szCs w:val="22"/>
          <w:lang w:val="en-ZA"/>
        </w:rPr>
        <w:t>W</w:t>
      </w:r>
      <w:r w:rsidR="00E01BD2">
        <w:rPr>
          <w:rFonts w:ascii="Arial" w:hAnsi="Arial" w:cs="Arial"/>
          <w:b/>
          <w:sz w:val="22"/>
          <w:szCs w:val="22"/>
          <w:lang w:val="en-ZA"/>
        </w:rPr>
        <w:t>1</w:t>
      </w:r>
      <w:r w:rsidR="007D08BA">
        <w:rPr>
          <w:rFonts w:ascii="Arial" w:hAnsi="Arial" w:cs="Arial"/>
          <w:b/>
          <w:sz w:val="22"/>
          <w:szCs w:val="22"/>
          <w:lang w:val="en-ZA"/>
        </w:rPr>
        <w:t>6</w:t>
      </w:r>
      <w:r w:rsidR="005B5869">
        <w:rPr>
          <w:rFonts w:ascii="Arial" w:hAnsi="Arial" w:cs="Arial"/>
          <w:b/>
          <w:sz w:val="22"/>
          <w:szCs w:val="22"/>
          <w:lang w:val="en-ZA"/>
        </w:rPr>
        <w:t>45</w:t>
      </w:r>
      <w:r w:rsidR="00A84F7F" w:rsidRPr="00A84F7F">
        <w:rPr>
          <w:rFonts w:ascii="Arial" w:hAnsi="Arial" w:cs="Arial"/>
          <w:b/>
          <w:sz w:val="22"/>
          <w:szCs w:val="22"/>
          <w:lang w:val="en-ZA"/>
        </w:rPr>
        <w:t>E</w:t>
      </w:r>
      <w:r w:rsidRPr="000147EE">
        <w:rPr>
          <w:rFonts w:ascii="Arial" w:hAnsi="Arial" w:cs="Arial"/>
          <w:b/>
          <w:sz w:val="22"/>
          <w:szCs w:val="22"/>
        </w:rPr>
        <w:t>]</w:t>
      </w:r>
      <w:bookmarkEnd w:id="4"/>
    </w:p>
    <w:bookmarkEnd w:id="0"/>
    <w:bookmarkEnd w:id="1"/>
    <w:bookmarkEnd w:id="2"/>
    <w:bookmarkEnd w:id="3"/>
    <w:bookmarkEnd w:id="5"/>
    <w:p w:rsidR="008E3D62" w:rsidRPr="008C3575" w:rsidRDefault="008E3D62" w:rsidP="008C3575">
      <w:pPr>
        <w:spacing w:line="360" w:lineRule="auto"/>
        <w:jc w:val="both"/>
        <w:rPr>
          <w:rFonts w:ascii="Arial" w:hAnsi="Arial" w:cs="Arial"/>
          <w:b/>
          <w:sz w:val="22"/>
          <w:szCs w:val="22"/>
        </w:rPr>
      </w:pPr>
    </w:p>
    <w:p w:rsidR="005B5869" w:rsidRPr="005B5869" w:rsidRDefault="005B5869" w:rsidP="005B5869">
      <w:pPr>
        <w:spacing w:before="100" w:beforeAutospacing="1" w:after="100" w:afterAutospacing="1" w:line="360" w:lineRule="auto"/>
        <w:ind w:left="720" w:hanging="720"/>
        <w:jc w:val="both"/>
        <w:outlineLvl w:val="0"/>
        <w:rPr>
          <w:rFonts w:ascii="Arial" w:hAnsi="Arial" w:cs="Arial"/>
          <w:sz w:val="22"/>
          <w:szCs w:val="22"/>
        </w:rPr>
      </w:pPr>
      <w:r w:rsidRPr="005B5869">
        <w:rPr>
          <w:rFonts w:ascii="Arial" w:hAnsi="Arial" w:cs="Arial"/>
          <w:b/>
          <w:sz w:val="22"/>
          <w:szCs w:val="22"/>
        </w:rPr>
        <w:t>1443.</w:t>
      </w:r>
      <w:r w:rsidRPr="005B5869">
        <w:rPr>
          <w:rFonts w:ascii="Arial" w:hAnsi="Arial" w:cs="Arial"/>
          <w:sz w:val="22"/>
          <w:szCs w:val="22"/>
        </w:rPr>
        <w:tab/>
      </w:r>
      <w:proofErr w:type="spellStart"/>
      <w:r w:rsidRPr="005B5869">
        <w:rPr>
          <w:rFonts w:ascii="Arial" w:hAnsi="Arial" w:cs="Arial"/>
          <w:b/>
          <w:bCs/>
          <w:sz w:val="22"/>
          <w:szCs w:val="22"/>
        </w:rPr>
        <w:t>Mr</w:t>
      </w:r>
      <w:proofErr w:type="spellEnd"/>
      <w:r w:rsidRPr="005B5869">
        <w:rPr>
          <w:rFonts w:ascii="Arial" w:hAnsi="Arial" w:cs="Arial"/>
          <w:b/>
          <w:bCs/>
          <w:sz w:val="22"/>
          <w:szCs w:val="22"/>
        </w:rPr>
        <w:t xml:space="preserve"> C Brink (DA) to ask the Minister of Finance</w:t>
      </w:r>
      <w:r w:rsidR="00D7275C" w:rsidRPr="005B5869">
        <w:rPr>
          <w:rFonts w:ascii="Arial" w:hAnsi="Arial" w:cs="Arial"/>
          <w:b/>
          <w:bCs/>
          <w:sz w:val="22"/>
          <w:szCs w:val="22"/>
        </w:rPr>
        <w:fldChar w:fldCharType="begin"/>
      </w:r>
      <w:r w:rsidRPr="005B5869">
        <w:rPr>
          <w:rFonts w:ascii="Arial" w:hAnsi="Arial" w:cs="Arial"/>
          <w:sz w:val="22"/>
          <w:szCs w:val="22"/>
        </w:rPr>
        <w:instrText xml:space="preserve"> XE "</w:instrText>
      </w:r>
      <w:r w:rsidRPr="005B5869">
        <w:rPr>
          <w:rFonts w:ascii="Arial" w:hAnsi="Arial" w:cs="Arial"/>
          <w:b/>
          <w:bCs/>
          <w:sz w:val="22"/>
          <w:szCs w:val="22"/>
        </w:rPr>
        <w:instrText>Finance</w:instrText>
      </w:r>
      <w:r w:rsidRPr="005B5869">
        <w:rPr>
          <w:rFonts w:ascii="Arial" w:hAnsi="Arial" w:cs="Arial"/>
          <w:sz w:val="22"/>
          <w:szCs w:val="22"/>
        </w:rPr>
        <w:instrText xml:space="preserve">" </w:instrText>
      </w:r>
      <w:r w:rsidR="00D7275C" w:rsidRPr="005B5869">
        <w:rPr>
          <w:rFonts w:ascii="Arial" w:hAnsi="Arial" w:cs="Arial"/>
          <w:b/>
          <w:bCs/>
          <w:sz w:val="22"/>
          <w:szCs w:val="22"/>
        </w:rPr>
        <w:fldChar w:fldCharType="end"/>
      </w:r>
      <w:r w:rsidRPr="005B5869">
        <w:rPr>
          <w:rFonts w:ascii="Arial" w:hAnsi="Arial" w:cs="Arial"/>
          <w:b/>
          <w:bCs/>
          <w:sz w:val="22"/>
          <w:szCs w:val="22"/>
        </w:rPr>
        <w:t>:</w:t>
      </w:r>
    </w:p>
    <w:p w:rsidR="005B5869" w:rsidRPr="005B5869" w:rsidRDefault="005B5869" w:rsidP="005B5869">
      <w:pPr>
        <w:spacing w:before="100" w:beforeAutospacing="1" w:after="100" w:afterAutospacing="1" w:line="360" w:lineRule="auto"/>
        <w:ind w:left="720" w:hanging="720"/>
        <w:jc w:val="both"/>
        <w:rPr>
          <w:rFonts w:ascii="Arial" w:hAnsi="Arial" w:cs="Arial"/>
          <w:sz w:val="22"/>
          <w:szCs w:val="22"/>
        </w:rPr>
      </w:pPr>
      <w:r w:rsidRPr="005B5869">
        <w:rPr>
          <w:rFonts w:ascii="Arial" w:hAnsi="Arial" w:cs="Arial"/>
          <w:sz w:val="22"/>
          <w:szCs w:val="22"/>
        </w:rPr>
        <w:t>(1)</w:t>
      </w:r>
      <w:r w:rsidRPr="005B5869">
        <w:rPr>
          <w:rFonts w:ascii="Arial" w:hAnsi="Arial" w:cs="Arial"/>
          <w:sz w:val="22"/>
          <w:szCs w:val="22"/>
        </w:rPr>
        <w:tab/>
        <w:t xml:space="preserve">With reference to the report of the Public Affairs Research Institute that found that R9 billion budgeted and disbursed by the Government to municipalities in the 2019-20 financial year for the provision of free basic electricity (FBE) was misappropriated and/or misspent on </w:t>
      </w:r>
      <w:proofErr w:type="spellStart"/>
      <w:r w:rsidRPr="005B5869">
        <w:rPr>
          <w:rFonts w:ascii="Arial" w:hAnsi="Arial" w:cs="Arial"/>
          <w:sz w:val="22"/>
          <w:szCs w:val="22"/>
        </w:rPr>
        <w:t>unauthorised</w:t>
      </w:r>
      <w:proofErr w:type="spellEnd"/>
      <w:r w:rsidRPr="005B5869">
        <w:rPr>
          <w:rFonts w:ascii="Arial" w:hAnsi="Arial" w:cs="Arial"/>
          <w:sz w:val="22"/>
          <w:szCs w:val="22"/>
        </w:rPr>
        <w:t xml:space="preserve"> purposes, what is the National </w:t>
      </w:r>
      <w:r w:rsidR="0025178F" w:rsidRPr="005B5869">
        <w:rPr>
          <w:rFonts w:ascii="Arial" w:hAnsi="Arial" w:cs="Arial"/>
          <w:sz w:val="22"/>
          <w:szCs w:val="22"/>
        </w:rPr>
        <w:t>Treasury</w:t>
      </w:r>
      <w:r w:rsidR="0025178F">
        <w:rPr>
          <w:rFonts w:ascii="Arial" w:hAnsi="Arial" w:cs="Arial"/>
          <w:sz w:val="22"/>
          <w:szCs w:val="22"/>
        </w:rPr>
        <w:t>'</w:t>
      </w:r>
      <w:r w:rsidR="0025178F" w:rsidRPr="005B5869">
        <w:rPr>
          <w:rFonts w:ascii="Arial" w:hAnsi="Arial" w:cs="Arial"/>
          <w:sz w:val="22"/>
          <w:szCs w:val="22"/>
        </w:rPr>
        <w:t xml:space="preserve">s </w:t>
      </w:r>
      <w:r w:rsidRPr="005B5869">
        <w:rPr>
          <w:rFonts w:ascii="Arial" w:hAnsi="Arial" w:cs="Arial"/>
          <w:sz w:val="22"/>
          <w:szCs w:val="22"/>
        </w:rPr>
        <w:t>position on the misappropriation of funds meant to alleviate the plight of indigent persons by municipalities;</w:t>
      </w:r>
    </w:p>
    <w:p w:rsidR="005B5869" w:rsidRPr="005B5869" w:rsidRDefault="005B5869" w:rsidP="005B5869">
      <w:pPr>
        <w:spacing w:before="100" w:beforeAutospacing="1" w:after="100" w:afterAutospacing="1" w:line="360" w:lineRule="auto"/>
        <w:ind w:left="720" w:hanging="720"/>
        <w:jc w:val="both"/>
        <w:rPr>
          <w:rFonts w:ascii="Arial" w:hAnsi="Arial" w:cs="Arial"/>
          <w:sz w:val="22"/>
          <w:szCs w:val="22"/>
        </w:rPr>
      </w:pPr>
      <w:r w:rsidRPr="005B5869">
        <w:rPr>
          <w:rFonts w:ascii="Arial" w:hAnsi="Arial" w:cs="Arial"/>
          <w:sz w:val="22"/>
          <w:szCs w:val="22"/>
        </w:rPr>
        <w:t>(2)</w:t>
      </w:r>
      <w:r w:rsidRPr="005B5869">
        <w:rPr>
          <w:rFonts w:ascii="Arial" w:hAnsi="Arial" w:cs="Arial"/>
          <w:sz w:val="22"/>
          <w:szCs w:val="22"/>
        </w:rPr>
        <w:tab/>
        <w:t xml:space="preserve">whether the National Treasury has put any mechanisms in place to monitor that funds allocated to municipalities for the provision of basic services to indigent persons are not misappropriated and/or misspent on </w:t>
      </w:r>
      <w:proofErr w:type="spellStart"/>
      <w:r w:rsidRPr="005B5869">
        <w:rPr>
          <w:rFonts w:ascii="Arial" w:hAnsi="Arial" w:cs="Arial"/>
          <w:sz w:val="22"/>
          <w:szCs w:val="22"/>
        </w:rPr>
        <w:t>unauthorised</w:t>
      </w:r>
      <w:proofErr w:type="spellEnd"/>
      <w:r w:rsidRPr="005B5869">
        <w:rPr>
          <w:rFonts w:ascii="Arial" w:hAnsi="Arial" w:cs="Arial"/>
          <w:sz w:val="22"/>
          <w:szCs w:val="22"/>
        </w:rPr>
        <w:t xml:space="preserve"> purposes; if not, what is the position in this regard; if so, what are the relevant details;</w:t>
      </w:r>
    </w:p>
    <w:p w:rsidR="005B5869" w:rsidRPr="00EA609C" w:rsidRDefault="005B5869" w:rsidP="005B5869">
      <w:pPr>
        <w:spacing w:before="100" w:beforeAutospacing="1" w:after="100" w:afterAutospacing="1" w:line="360" w:lineRule="auto"/>
        <w:ind w:left="720" w:hanging="720"/>
        <w:jc w:val="both"/>
        <w:rPr>
          <w:rStyle w:val="CharChar"/>
        </w:rPr>
      </w:pPr>
      <w:r w:rsidRPr="00EA609C">
        <w:rPr>
          <w:rStyle w:val="CharChar"/>
        </w:rPr>
        <w:t>(3)</w:t>
      </w:r>
      <w:r w:rsidRPr="00EA609C">
        <w:rPr>
          <w:rStyle w:val="CharChar"/>
        </w:rPr>
        <w:tab/>
        <w:t xml:space="preserve">whether the National Treasury has been informed of the misappropriation and/or misspending of the specified R9 billion budgeted and disbursed to municipalities for the provision of FBE; if not, what is the position in this regard; if so, what action does the National Treasury intend to take against municipalities that have been found to have misappropriated and/or misspent the FBE funds? </w:t>
      </w:r>
      <w:r w:rsidRPr="00EA609C">
        <w:rPr>
          <w:rStyle w:val="CharChar"/>
        </w:rPr>
        <w:tab/>
      </w:r>
      <w:r w:rsidRPr="00EA609C">
        <w:rPr>
          <w:rStyle w:val="CharChar"/>
        </w:rPr>
        <w:tab/>
      </w:r>
      <w:r w:rsidRPr="00EA609C">
        <w:rPr>
          <w:rStyle w:val="CharChar"/>
        </w:rPr>
        <w:tab/>
      </w:r>
      <w:r w:rsidRPr="00EA609C">
        <w:rPr>
          <w:rStyle w:val="CharChar"/>
        </w:rPr>
        <w:tab/>
      </w:r>
      <w:r w:rsidRPr="00EA609C">
        <w:rPr>
          <w:rStyle w:val="CharChar"/>
        </w:rPr>
        <w:tab/>
      </w:r>
      <w:r w:rsidRPr="00EA609C">
        <w:rPr>
          <w:rStyle w:val="CharChar"/>
        </w:rPr>
        <w:tab/>
      </w:r>
      <w:r w:rsidRPr="00EA609C">
        <w:rPr>
          <w:rStyle w:val="CharChar"/>
        </w:rPr>
        <w:tab/>
      </w:r>
      <w:r w:rsidRPr="00EA609C">
        <w:rPr>
          <w:rStyle w:val="CharChar"/>
        </w:rPr>
        <w:tab/>
      </w:r>
      <w:r w:rsidRPr="00EA609C">
        <w:rPr>
          <w:rStyle w:val="CharChar"/>
        </w:rPr>
        <w:tab/>
      </w:r>
      <w:r w:rsidRPr="00EA609C">
        <w:rPr>
          <w:rStyle w:val="CharChar"/>
        </w:rPr>
        <w:tab/>
      </w:r>
      <w:r w:rsidRPr="00EA609C">
        <w:rPr>
          <w:rStyle w:val="CharChar"/>
        </w:rPr>
        <w:tab/>
      </w:r>
      <w:r w:rsidRPr="00EA609C">
        <w:rPr>
          <w:rStyle w:val="CharChar"/>
        </w:rPr>
        <w:tab/>
      </w:r>
      <w:r w:rsidRPr="00EA609C">
        <w:rPr>
          <w:rStyle w:val="CharChar"/>
        </w:rPr>
        <w:tab/>
      </w:r>
      <w:r w:rsidRPr="00EA609C">
        <w:rPr>
          <w:rStyle w:val="CharChar"/>
        </w:rPr>
        <w:tab/>
      </w:r>
      <w:r w:rsidRPr="00EA609C">
        <w:rPr>
          <w:rStyle w:val="CharChar"/>
        </w:rPr>
        <w:tab/>
      </w:r>
      <w:r w:rsidRPr="00EA609C">
        <w:rPr>
          <w:rStyle w:val="CharChar"/>
        </w:rPr>
        <w:tab/>
        <w:t>NW1645E</w:t>
      </w:r>
    </w:p>
    <w:p w:rsidR="008E3D62" w:rsidRDefault="008E3D62" w:rsidP="00410BF4">
      <w:pPr>
        <w:spacing w:line="360" w:lineRule="auto"/>
        <w:jc w:val="both"/>
        <w:outlineLvl w:val="0"/>
        <w:rPr>
          <w:rFonts w:ascii="Arial" w:hAnsi="Arial" w:cs="Arial"/>
          <w:sz w:val="22"/>
          <w:szCs w:val="22"/>
        </w:rPr>
      </w:pPr>
      <w:r w:rsidRPr="005B5869">
        <w:rPr>
          <w:rFonts w:ascii="Arial" w:hAnsi="Arial" w:cs="Arial"/>
          <w:b/>
          <w:sz w:val="22"/>
          <w:szCs w:val="22"/>
        </w:rPr>
        <w:t>REPLY</w:t>
      </w:r>
      <w:r w:rsidRPr="005B5869">
        <w:rPr>
          <w:rFonts w:ascii="Arial" w:hAnsi="Arial" w:cs="Arial"/>
          <w:sz w:val="22"/>
          <w:szCs w:val="22"/>
        </w:rPr>
        <w:t>:</w:t>
      </w:r>
    </w:p>
    <w:p w:rsidR="00410BF4" w:rsidRPr="00F740FF" w:rsidRDefault="00410BF4" w:rsidP="00410BF4">
      <w:pPr>
        <w:spacing w:line="360" w:lineRule="auto"/>
        <w:jc w:val="both"/>
        <w:outlineLvl w:val="0"/>
        <w:rPr>
          <w:rFonts w:ascii="Arial" w:hAnsi="Arial" w:cs="Arial"/>
          <w:sz w:val="22"/>
          <w:szCs w:val="22"/>
          <w:lang w:val="en-ZA"/>
        </w:rPr>
      </w:pPr>
    </w:p>
    <w:p w:rsidR="00A97A28" w:rsidRPr="00F740FF" w:rsidRDefault="0090058A" w:rsidP="00410BF4">
      <w:pPr>
        <w:pStyle w:val="ListParagraph"/>
        <w:numPr>
          <w:ilvl w:val="0"/>
          <w:numId w:val="14"/>
        </w:numPr>
        <w:spacing w:line="360" w:lineRule="auto"/>
        <w:ind w:left="567" w:hanging="567"/>
        <w:jc w:val="both"/>
        <w:rPr>
          <w:rFonts w:ascii="Arial" w:hAnsi="Arial" w:cs="Arial"/>
          <w:sz w:val="22"/>
          <w:szCs w:val="22"/>
          <w:lang w:val="en-ZA"/>
        </w:rPr>
      </w:pPr>
      <w:r w:rsidRPr="001A5C86">
        <w:rPr>
          <w:rFonts w:ascii="Arial" w:hAnsi="Arial" w:cs="Arial"/>
          <w:sz w:val="22"/>
          <w:szCs w:val="22"/>
          <w:lang w:val="en-ZA"/>
        </w:rPr>
        <w:t>In terms of section 227 of the Constitution, local government is en</w:t>
      </w:r>
      <w:bookmarkStart w:id="6" w:name="_GoBack"/>
      <w:bookmarkEnd w:id="6"/>
      <w:r w:rsidRPr="001A5C86">
        <w:rPr>
          <w:rFonts w:ascii="Arial" w:hAnsi="Arial" w:cs="Arial"/>
          <w:sz w:val="22"/>
          <w:szCs w:val="22"/>
          <w:lang w:val="en-ZA"/>
        </w:rPr>
        <w:t>titled to an equitable share of nationally raised revenue to enable it to provide a package of free basic services to poor households and to support additional costs for municipalities with limited own revenue potential. The local government equitable share (LGES) is an unconditional transfer that supplements the revenue that municipalities can raise themselves (including revenue raised through property rates and service charges).</w:t>
      </w:r>
      <w:r w:rsidR="002F18E2">
        <w:rPr>
          <w:rFonts w:ascii="Arial" w:hAnsi="Arial" w:cs="Arial"/>
          <w:sz w:val="22"/>
          <w:szCs w:val="22"/>
          <w:lang w:val="en-ZA"/>
        </w:rPr>
        <w:t xml:space="preserve"> </w:t>
      </w:r>
      <w:r w:rsidRPr="001A5C86">
        <w:rPr>
          <w:rFonts w:ascii="Arial" w:hAnsi="Arial" w:cs="Arial"/>
          <w:sz w:val="22"/>
          <w:szCs w:val="22"/>
          <w:lang w:val="en-ZA"/>
        </w:rPr>
        <w:t xml:space="preserve"> </w:t>
      </w:r>
      <w:r w:rsidR="005A797C" w:rsidRPr="001A5C86">
        <w:rPr>
          <w:rFonts w:ascii="Arial" w:hAnsi="Arial" w:cs="Arial"/>
          <w:sz w:val="22"/>
          <w:szCs w:val="22"/>
          <w:lang w:val="en-ZA"/>
        </w:rPr>
        <w:t xml:space="preserve">The components and sub-components of the LGES formula are neither an indicative budget nor a guideline as to </w:t>
      </w:r>
      <w:r w:rsidR="005A797C" w:rsidRPr="001A5C86">
        <w:rPr>
          <w:rFonts w:ascii="Arial" w:hAnsi="Arial" w:cs="Arial"/>
          <w:sz w:val="22"/>
          <w:szCs w:val="22"/>
          <w:lang w:val="en-ZA"/>
        </w:rPr>
        <w:lastRenderedPageBreak/>
        <w:t xml:space="preserve">how much should be spent on each service. </w:t>
      </w:r>
      <w:r w:rsidR="002F18E2">
        <w:rPr>
          <w:rFonts w:ascii="Arial" w:hAnsi="Arial" w:cs="Arial"/>
          <w:sz w:val="22"/>
          <w:szCs w:val="22"/>
          <w:lang w:val="en-ZA"/>
        </w:rPr>
        <w:t xml:space="preserve"> </w:t>
      </w:r>
      <w:r w:rsidRPr="001A5C86">
        <w:rPr>
          <w:rFonts w:ascii="Arial" w:hAnsi="Arial" w:cs="Arial"/>
          <w:sz w:val="22"/>
          <w:szCs w:val="22"/>
          <w:lang w:val="en-ZA"/>
        </w:rPr>
        <w:t xml:space="preserve">Its annual baseline growth is determined, taking into account household growth (typically about 3% per year) and cost increases, including for bulk electricity and bulk water, which are typically above inflation. </w:t>
      </w:r>
      <w:r w:rsidR="002F18E2">
        <w:rPr>
          <w:rFonts w:ascii="Arial" w:hAnsi="Arial" w:cs="Arial"/>
          <w:sz w:val="22"/>
          <w:szCs w:val="22"/>
          <w:lang w:val="en-ZA"/>
        </w:rPr>
        <w:t xml:space="preserve"> </w:t>
      </w:r>
      <w:r w:rsidRPr="001A5C86">
        <w:rPr>
          <w:rFonts w:ascii="Arial" w:hAnsi="Arial" w:cs="Arial"/>
          <w:sz w:val="22"/>
          <w:szCs w:val="22"/>
          <w:lang w:val="en-ZA"/>
        </w:rPr>
        <w:t xml:space="preserve">Despite the government's progress in ensuring that millions of households receive basic services, the demand for services remains high and outstrips the pace of delivery. </w:t>
      </w:r>
      <w:r w:rsidR="002F18E2">
        <w:rPr>
          <w:rFonts w:ascii="Arial" w:hAnsi="Arial" w:cs="Arial"/>
          <w:sz w:val="22"/>
          <w:szCs w:val="22"/>
          <w:lang w:val="en-ZA"/>
        </w:rPr>
        <w:t xml:space="preserve"> </w:t>
      </w:r>
      <w:r w:rsidRPr="001A5C86">
        <w:rPr>
          <w:rFonts w:ascii="Arial" w:hAnsi="Arial" w:cs="Arial"/>
          <w:sz w:val="22"/>
          <w:szCs w:val="22"/>
          <w:lang w:val="en-ZA"/>
        </w:rPr>
        <w:t xml:space="preserve">Municipalities are able to use a variety of targeting methods to distribute free basic services to households, including household income, geographical, property and service value. </w:t>
      </w:r>
      <w:r w:rsidR="002F18E2">
        <w:rPr>
          <w:rFonts w:ascii="Arial" w:hAnsi="Arial" w:cs="Arial"/>
          <w:sz w:val="22"/>
          <w:szCs w:val="22"/>
          <w:lang w:val="en-ZA"/>
        </w:rPr>
        <w:t xml:space="preserve"> </w:t>
      </w:r>
      <w:r w:rsidRPr="001A5C86">
        <w:rPr>
          <w:rFonts w:ascii="Arial" w:hAnsi="Arial" w:cs="Arial"/>
          <w:sz w:val="22"/>
          <w:szCs w:val="22"/>
          <w:lang w:val="en-ZA"/>
        </w:rPr>
        <w:t xml:space="preserve">This flexible approach means arbitrary decisions may exclude certain households. </w:t>
      </w:r>
      <w:r w:rsidR="002F18E2">
        <w:rPr>
          <w:rFonts w:ascii="Arial" w:hAnsi="Arial" w:cs="Arial"/>
          <w:sz w:val="22"/>
          <w:szCs w:val="22"/>
          <w:lang w:val="en-ZA"/>
        </w:rPr>
        <w:t xml:space="preserve"> </w:t>
      </w:r>
      <w:r w:rsidRPr="00F740FF">
        <w:rPr>
          <w:rFonts w:ascii="Arial" w:hAnsi="Arial" w:cs="Arial"/>
          <w:sz w:val="22"/>
          <w:szCs w:val="22"/>
          <w:lang w:val="en-ZA"/>
        </w:rPr>
        <w:t xml:space="preserve">The intended recipients of free basic services should be poor households. </w:t>
      </w:r>
      <w:r w:rsidR="002F18E2">
        <w:rPr>
          <w:rFonts w:ascii="Arial" w:hAnsi="Arial" w:cs="Arial"/>
          <w:sz w:val="22"/>
          <w:szCs w:val="22"/>
          <w:lang w:val="en-ZA"/>
        </w:rPr>
        <w:t xml:space="preserve"> </w:t>
      </w:r>
      <w:r w:rsidRPr="00F740FF">
        <w:rPr>
          <w:rFonts w:ascii="Arial" w:hAnsi="Arial" w:cs="Arial"/>
          <w:sz w:val="22"/>
          <w:szCs w:val="22"/>
          <w:lang w:val="en-ZA"/>
        </w:rPr>
        <w:t xml:space="preserve">Each municipality identifies households falling within their prescribed classification method and municipalities develop a subsidy framework based on targeting mechanisms designed to ensure that wealthy or middle-income people do not benefit from free basic service; that is, so long as the household has a municipal account and is registered on the municipality’s indigent register, it can get the free basic services package. </w:t>
      </w:r>
      <w:r w:rsidR="002F18E2">
        <w:rPr>
          <w:rFonts w:ascii="Arial" w:hAnsi="Arial" w:cs="Arial"/>
          <w:sz w:val="22"/>
          <w:szCs w:val="22"/>
          <w:lang w:val="en-ZA"/>
        </w:rPr>
        <w:t xml:space="preserve"> </w:t>
      </w:r>
      <w:r w:rsidR="005A60B5" w:rsidRPr="001A5C86">
        <w:rPr>
          <w:rFonts w:ascii="Arial" w:hAnsi="Arial" w:cs="Arial"/>
          <w:sz w:val="22"/>
          <w:szCs w:val="22"/>
          <w:lang w:val="en-ZA"/>
        </w:rPr>
        <w:t xml:space="preserve">Therefore, the R9 billion </w:t>
      </w:r>
      <w:r w:rsidR="005A797C" w:rsidRPr="001A5C86">
        <w:rPr>
          <w:rFonts w:ascii="Arial" w:hAnsi="Arial" w:cs="Arial"/>
          <w:sz w:val="22"/>
          <w:szCs w:val="22"/>
          <w:lang w:val="en-ZA"/>
        </w:rPr>
        <w:t xml:space="preserve">is indicative of how much it costs </w:t>
      </w:r>
      <w:r w:rsidR="005A60B5" w:rsidRPr="00F740FF">
        <w:rPr>
          <w:rFonts w:ascii="Arial" w:hAnsi="Arial" w:cs="Arial"/>
          <w:sz w:val="22"/>
          <w:szCs w:val="22"/>
          <w:lang w:val="en-ZA"/>
        </w:rPr>
        <w:t>to cover the costs of providing free basic</w:t>
      </w:r>
      <w:r w:rsidR="002F18E2">
        <w:rPr>
          <w:rFonts w:ascii="Arial" w:hAnsi="Arial" w:cs="Arial"/>
          <w:sz w:val="22"/>
          <w:szCs w:val="22"/>
          <w:lang w:val="en-ZA"/>
        </w:rPr>
        <w:t xml:space="preserve"> electricity to poor households </w:t>
      </w:r>
      <w:r w:rsidR="005A797C" w:rsidRPr="001A5C86">
        <w:rPr>
          <w:rFonts w:ascii="Arial" w:hAnsi="Arial" w:cs="Arial"/>
          <w:sz w:val="22"/>
          <w:szCs w:val="22"/>
          <w:lang w:val="en-ZA"/>
        </w:rPr>
        <w:t xml:space="preserve">and is therefore used to determine a fair and </w:t>
      </w:r>
      <w:proofErr w:type="spellStart"/>
      <w:r w:rsidR="005A797C" w:rsidRPr="001A5C86">
        <w:rPr>
          <w:rFonts w:ascii="Arial" w:hAnsi="Arial" w:cs="Arial"/>
          <w:sz w:val="22"/>
          <w:szCs w:val="22"/>
          <w:lang w:val="en-ZA"/>
        </w:rPr>
        <w:t>equitale</w:t>
      </w:r>
      <w:proofErr w:type="spellEnd"/>
      <w:r w:rsidR="005A797C" w:rsidRPr="001A5C86">
        <w:rPr>
          <w:rFonts w:ascii="Arial" w:hAnsi="Arial" w:cs="Arial"/>
          <w:sz w:val="22"/>
          <w:szCs w:val="22"/>
          <w:lang w:val="en-ZA"/>
        </w:rPr>
        <w:t xml:space="preserve"> allocation that each municipality is entitled to </w:t>
      </w:r>
      <w:r w:rsidR="002F18E2">
        <w:rPr>
          <w:rFonts w:ascii="Arial" w:hAnsi="Arial" w:cs="Arial"/>
          <w:sz w:val="22"/>
          <w:szCs w:val="22"/>
          <w:lang w:val="en-ZA"/>
        </w:rPr>
        <w:t>receive</w:t>
      </w:r>
      <w:r w:rsidR="005A797C" w:rsidRPr="001A5C86">
        <w:rPr>
          <w:rFonts w:ascii="Arial" w:hAnsi="Arial" w:cs="Arial"/>
          <w:sz w:val="22"/>
          <w:szCs w:val="22"/>
          <w:lang w:val="en-ZA"/>
        </w:rPr>
        <w:t xml:space="preserve">.  </w:t>
      </w:r>
      <w:r w:rsidR="001A5C86">
        <w:rPr>
          <w:rFonts w:ascii="Arial" w:hAnsi="Arial" w:cs="Arial"/>
          <w:sz w:val="22"/>
          <w:szCs w:val="22"/>
          <w:lang w:val="en-ZA"/>
        </w:rPr>
        <w:t>Some municipalities have actually a F</w:t>
      </w:r>
      <w:r w:rsidR="00231DD6">
        <w:rPr>
          <w:rFonts w:ascii="Arial" w:hAnsi="Arial" w:cs="Arial"/>
          <w:sz w:val="22"/>
          <w:szCs w:val="22"/>
          <w:lang w:val="en-ZA"/>
        </w:rPr>
        <w:t>ree Basic Services (F</w:t>
      </w:r>
      <w:r w:rsidR="001A5C86">
        <w:rPr>
          <w:rFonts w:ascii="Arial" w:hAnsi="Arial" w:cs="Arial"/>
          <w:sz w:val="22"/>
          <w:szCs w:val="22"/>
          <w:lang w:val="en-ZA"/>
        </w:rPr>
        <w:t>BS</w:t>
      </w:r>
      <w:r w:rsidR="00231DD6">
        <w:rPr>
          <w:rFonts w:ascii="Arial" w:hAnsi="Arial" w:cs="Arial"/>
          <w:sz w:val="22"/>
          <w:szCs w:val="22"/>
          <w:lang w:val="en-ZA"/>
        </w:rPr>
        <w:t>)</w:t>
      </w:r>
      <w:r w:rsidR="001A5C86">
        <w:rPr>
          <w:rFonts w:ascii="Arial" w:hAnsi="Arial" w:cs="Arial"/>
          <w:sz w:val="22"/>
          <w:szCs w:val="22"/>
          <w:lang w:val="en-ZA"/>
        </w:rPr>
        <w:t xml:space="preserve"> policy that provides higher level of services than the norm indicated by the </w:t>
      </w:r>
      <w:proofErr w:type="spellStart"/>
      <w:r w:rsidR="001A5C86">
        <w:rPr>
          <w:rFonts w:ascii="Arial" w:hAnsi="Arial" w:cs="Arial"/>
          <w:sz w:val="22"/>
          <w:szCs w:val="22"/>
          <w:lang w:val="en-ZA"/>
        </w:rPr>
        <w:t>formual</w:t>
      </w:r>
      <w:proofErr w:type="spellEnd"/>
      <w:r w:rsidR="001A5C86">
        <w:rPr>
          <w:rFonts w:ascii="Arial" w:hAnsi="Arial" w:cs="Arial"/>
          <w:sz w:val="22"/>
          <w:szCs w:val="22"/>
          <w:lang w:val="en-ZA"/>
        </w:rPr>
        <w:t xml:space="preserve">. </w:t>
      </w:r>
      <w:r w:rsidR="002F18E2">
        <w:rPr>
          <w:rFonts w:ascii="Arial" w:hAnsi="Arial" w:cs="Arial"/>
          <w:sz w:val="22"/>
          <w:szCs w:val="22"/>
          <w:lang w:val="en-ZA"/>
        </w:rPr>
        <w:t xml:space="preserve"> </w:t>
      </w:r>
      <w:r w:rsidR="005A797C" w:rsidRPr="001A5C86">
        <w:rPr>
          <w:rFonts w:ascii="Arial" w:hAnsi="Arial" w:cs="Arial"/>
          <w:sz w:val="22"/>
          <w:szCs w:val="22"/>
          <w:lang w:val="en-ZA"/>
        </w:rPr>
        <w:t xml:space="preserve">The decision of how and where these funds </w:t>
      </w:r>
      <w:r w:rsidR="002F18E2">
        <w:rPr>
          <w:rFonts w:ascii="Arial" w:hAnsi="Arial" w:cs="Arial"/>
          <w:sz w:val="22"/>
          <w:szCs w:val="22"/>
          <w:lang w:val="en-ZA"/>
        </w:rPr>
        <w:t xml:space="preserve">are </w:t>
      </w:r>
      <w:r w:rsidR="005A797C" w:rsidRPr="001A5C86">
        <w:rPr>
          <w:rFonts w:ascii="Arial" w:hAnsi="Arial" w:cs="Arial"/>
          <w:sz w:val="22"/>
          <w:szCs w:val="22"/>
          <w:lang w:val="en-ZA"/>
        </w:rPr>
        <w:t xml:space="preserve">spent is </w:t>
      </w:r>
      <w:r w:rsidR="005A60B5" w:rsidRPr="00F740FF">
        <w:rPr>
          <w:rFonts w:ascii="Arial" w:hAnsi="Arial" w:cs="Arial"/>
          <w:sz w:val="22"/>
          <w:szCs w:val="22"/>
          <w:lang w:val="en-ZA"/>
        </w:rPr>
        <w:t>up to the respective municipal councils</w:t>
      </w:r>
      <w:r w:rsidR="002F18E2">
        <w:rPr>
          <w:rFonts w:ascii="Arial" w:hAnsi="Arial" w:cs="Arial"/>
          <w:sz w:val="22"/>
          <w:szCs w:val="22"/>
          <w:lang w:val="en-ZA"/>
        </w:rPr>
        <w:t>.  T</w:t>
      </w:r>
      <w:r w:rsidR="0096237D" w:rsidRPr="00F740FF">
        <w:rPr>
          <w:rFonts w:ascii="Arial" w:hAnsi="Arial" w:cs="Arial"/>
          <w:sz w:val="22"/>
          <w:szCs w:val="22"/>
          <w:lang w:val="en-ZA"/>
        </w:rPr>
        <w:t xml:space="preserve">he </w:t>
      </w:r>
      <w:r w:rsidR="002F18E2" w:rsidRPr="005A797C">
        <w:rPr>
          <w:rFonts w:ascii="Arial" w:hAnsi="Arial" w:cs="Arial"/>
          <w:sz w:val="22"/>
          <w:szCs w:val="22"/>
          <w:lang w:val="en-ZA"/>
        </w:rPr>
        <w:t>Division of Revenue Act (</w:t>
      </w:r>
      <w:proofErr w:type="spellStart"/>
      <w:r w:rsidR="002F18E2" w:rsidRPr="005A797C">
        <w:rPr>
          <w:rFonts w:ascii="Arial" w:hAnsi="Arial" w:cs="Arial"/>
          <w:sz w:val="22"/>
          <w:szCs w:val="22"/>
          <w:lang w:val="en-ZA"/>
        </w:rPr>
        <w:t>DoRA</w:t>
      </w:r>
      <w:proofErr w:type="spellEnd"/>
      <w:proofErr w:type="gramStart"/>
      <w:r w:rsidR="002F18E2" w:rsidRPr="005A797C">
        <w:rPr>
          <w:rFonts w:ascii="Arial" w:hAnsi="Arial" w:cs="Arial"/>
          <w:sz w:val="22"/>
          <w:szCs w:val="22"/>
          <w:lang w:val="en-ZA"/>
        </w:rPr>
        <w:t xml:space="preserve">) </w:t>
      </w:r>
      <w:r w:rsidR="005E6BC3" w:rsidRPr="00F740FF">
        <w:rPr>
          <w:rFonts w:ascii="Arial" w:hAnsi="Arial" w:cs="Arial"/>
          <w:sz w:val="22"/>
          <w:szCs w:val="22"/>
          <w:lang w:val="en-ZA"/>
        </w:rPr>
        <w:t xml:space="preserve"> as</w:t>
      </w:r>
      <w:proofErr w:type="gramEnd"/>
      <w:r w:rsidR="005E6BC3" w:rsidRPr="00F740FF">
        <w:rPr>
          <w:rFonts w:ascii="Arial" w:hAnsi="Arial" w:cs="Arial"/>
          <w:sz w:val="22"/>
          <w:szCs w:val="22"/>
          <w:lang w:val="en-ZA"/>
        </w:rPr>
        <w:t xml:space="preserve"> a </w:t>
      </w:r>
      <w:r w:rsidR="0096237D" w:rsidRPr="00F740FF">
        <w:rPr>
          <w:rFonts w:ascii="Arial" w:hAnsi="Arial" w:cs="Arial"/>
          <w:sz w:val="22"/>
          <w:szCs w:val="22"/>
          <w:lang w:val="en-ZA"/>
        </w:rPr>
        <w:t>legislation that governs</w:t>
      </w:r>
      <w:r w:rsidR="005E6BC3" w:rsidRPr="00F740FF">
        <w:rPr>
          <w:rFonts w:ascii="Arial" w:hAnsi="Arial" w:cs="Arial"/>
          <w:sz w:val="22"/>
          <w:szCs w:val="22"/>
          <w:lang w:val="en-ZA"/>
        </w:rPr>
        <w:t xml:space="preserve"> how grants are </w:t>
      </w:r>
      <w:r w:rsidR="0096237D" w:rsidRPr="00F740FF">
        <w:rPr>
          <w:rFonts w:ascii="Arial" w:hAnsi="Arial" w:cs="Arial"/>
          <w:sz w:val="22"/>
          <w:szCs w:val="22"/>
          <w:lang w:val="en-ZA"/>
        </w:rPr>
        <w:t xml:space="preserve">monitored </w:t>
      </w:r>
      <w:r w:rsidR="005E6BC3" w:rsidRPr="00F740FF">
        <w:rPr>
          <w:rFonts w:ascii="Arial" w:hAnsi="Arial" w:cs="Arial"/>
          <w:sz w:val="22"/>
          <w:szCs w:val="22"/>
          <w:lang w:val="en-ZA"/>
        </w:rPr>
        <w:t xml:space="preserve">does not give National Treasury and the </w:t>
      </w:r>
      <w:r w:rsidR="0096237D" w:rsidRPr="00F740FF">
        <w:rPr>
          <w:rFonts w:ascii="Arial" w:hAnsi="Arial" w:cs="Arial"/>
          <w:sz w:val="22"/>
          <w:szCs w:val="22"/>
          <w:lang w:val="en-ZA"/>
        </w:rPr>
        <w:t xml:space="preserve">National </w:t>
      </w:r>
      <w:r w:rsidR="005E6BC3" w:rsidRPr="00F740FF">
        <w:rPr>
          <w:rFonts w:ascii="Arial" w:hAnsi="Arial" w:cs="Arial"/>
          <w:sz w:val="22"/>
          <w:szCs w:val="22"/>
          <w:lang w:val="en-ZA"/>
        </w:rPr>
        <w:t>Transferring Officer</w:t>
      </w:r>
      <w:r w:rsidR="0096237D" w:rsidRPr="00F740FF">
        <w:rPr>
          <w:rFonts w:ascii="Arial" w:hAnsi="Arial" w:cs="Arial"/>
          <w:sz w:val="22"/>
          <w:szCs w:val="22"/>
          <w:lang w:val="en-ZA"/>
        </w:rPr>
        <w:t xml:space="preserve"> (NTO)</w:t>
      </w:r>
      <w:r w:rsidR="005E6BC3" w:rsidRPr="00F740FF">
        <w:rPr>
          <w:rFonts w:ascii="Arial" w:hAnsi="Arial" w:cs="Arial"/>
          <w:sz w:val="22"/>
          <w:szCs w:val="22"/>
          <w:lang w:val="en-ZA"/>
        </w:rPr>
        <w:t xml:space="preserve"> the powers to monitor spending on Equitable Share</w:t>
      </w:r>
      <w:r w:rsidR="00863713" w:rsidRPr="00F740FF">
        <w:rPr>
          <w:rFonts w:ascii="Arial" w:hAnsi="Arial" w:cs="Arial"/>
          <w:sz w:val="22"/>
          <w:szCs w:val="22"/>
          <w:lang w:val="en-ZA"/>
        </w:rPr>
        <w:t xml:space="preserve"> in line with indicative amounts reflected by the formula</w:t>
      </w:r>
      <w:r w:rsidR="005E6BC3" w:rsidRPr="00F740FF">
        <w:rPr>
          <w:rFonts w:ascii="Arial" w:hAnsi="Arial" w:cs="Arial"/>
          <w:sz w:val="22"/>
          <w:szCs w:val="22"/>
          <w:lang w:val="en-ZA"/>
        </w:rPr>
        <w:t xml:space="preserve">. </w:t>
      </w:r>
      <w:r w:rsidR="002F18E2">
        <w:rPr>
          <w:rFonts w:ascii="Arial" w:hAnsi="Arial" w:cs="Arial"/>
          <w:sz w:val="22"/>
          <w:szCs w:val="22"/>
          <w:lang w:val="en-ZA"/>
        </w:rPr>
        <w:t xml:space="preserve"> </w:t>
      </w:r>
      <w:r w:rsidR="005E6BC3" w:rsidRPr="00F740FF">
        <w:rPr>
          <w:rFonts w:ascii="Arial" w:hAnsi="Arial" w:cs="Arial"/>
          <w:sz w:val="22"/>
          <w:szCs w:val="22"/>
          <w:lang w:val="en-ZA"/>
        </w:rPr>
        <w:t xml:space="preserve">This is different for direct grants whereby the </w:t>
      </w:r>
      <w:proofErr w:type="spellStart"/>
      <w:r w:rsidR="005E6BC3" w:rsidRPr="00F740FF">
        <w:rPr>
          <w:rFonts w:ascii="Arial" w:hAnsi="Arial" w:cs="Arial"/>
          <w:sz w:val="22"/>
          <w:szCs w:val="22"/>
          <w:lang w:val="en-ZA"/>
        </w:rPr>
        <w:t>DoRA</w:t>
      </w:r>
      <w:proofErr w:type="spellEnd"/>
      <w:r w:rsidR="005E6BC3" w:rsidRPr="00F740FF">
        <w:rPr>
          <w:rFonts w:ascii="Arial" w:hAnsi="Arial" w:cs="Arial"/>
          <w:sz w:val="22"/>
          <w:szCs w:val="22"/>
          <w:lang w:val="en-ZA"/>
        </w:rPr>
        <w:t xml:space="preserve"> is explicit on the monitoring mechanisms to be applied on a monthly basis.</w:t>
      </w:r>
    </w:p>
    <w:p w:rsidR="00AF2538" w:rsidRPr="00AF2538" w:rsidRDefault="00AF2538" w:rsidP="00410BF4">
      <w:pPr>
        <w:pStyle w:val="ListParagraph"/>
        <w:spacing w:line="360" w:lineRule="auto"/>
        <w:jc w:val="both"/>
        <w:rPr>
          <w:rFonts w:ascii="Calibri" w:hAnsi="Calibri" w:cs="Calibri"/>
          <w:sz w:val="22"/>
          <w:szCs w:val="22"/>
          <w:lang w:val="en-ZA"/>
        </w:rPr>
      </w:pPr>
    </w:p>
    <w:p w:rsidR="005A797C" w:rsidRDefault="005A797C" w:rsidP="00410BF4">
      <w:pPr>
        <w:pStyle w:val="ListParagraph"/>
        <w:numPr>
          <w:ilvl w:val="0"/>
          <w:numId w:val="14"/>
        </w:numPr>
        <w:spacing w:line="360" w:lineRule="auto"/>
        <w:ind w:left="567" w:hanging="567"/>
        <w:jc w:val="both"/>
        <w:rPr>
          <w:rFonts w:ascii="Arial" w:hAnsi="Arial" w:cs="Arial"/>
          <w:sz w:val="22"/>
          <w:szCs w:val="22"/>
          <w:lang w:val="en-ZA"/>
        </w:rPr>
      </w:pPr>
      <w:r w:rsidRPr="005A797C">
        <w:rPr>
          <w:rFonts w:ascii="Arial" w:hAnsi="Arial" w:cs="Arial"/>
          <w:sz w:val="22"/>
          <w:szCs w:val="22"/>
          <w:lang w:val="en-ZA"/>
        </w:rPr>
        <w:t>The LGES is transferred by the Department of Cooperative Governance (</w:t>
      </w:r>
      <w:proofErr w:type="spellStart"/>
      <w:r w:rsidRPr="005A797C">
        <w:rPr>
          <w:rFonts w:ascii="Arial" w:hAnsi="Arial" w:cs="Arial"/>
          <w:sz w:val="22"/>
          <w:szCs w:val="22"/>
          <w:lang w:val="en-ZA"/>
        </w:rPr>
        <w:t>DCoG</w:t>
      </w:r>
      <w:proofErr w:type="spellEnd"/>
      <w:r w:rsidRPr="005A797C">
        <w:rPr>
          <w:rFonts w:ascii="Arial" w:hAnsi="Arial" w:cs="Arial"/>
          <w:sz w:val="22"/>
          <w:szCs w:val="22"/>
          <w:lang w:val="en-ZA"/>
        </w:rPr>
        <w:t xml:space="preserve">). </w:t>
      </w:r>
      <w:r w:rsidR="002F18E2">
        <w:rPr>
          <w:rFonts w:ascii="Arial" w:hAnsi="Arial" w:cs="Arial"/>
          <w:sz w:val="22"/>
          <w:szCs w:val="22"/>
          <w:lang w:val="en-ZA"/>
        </w:rPr>
        <w:t xml:space="preserve"> </w:t>
      </w:r>
      <w:r w:rsidRPr="005A797C">
        <w:rPr>
          <w:rFonts w:ascii="Arial" w:hAnsi="Arial" w:cs="Arial"/>
          <w:sz w:val="22"/>
          <w:szCs w:val="22"/>
          <w:lang w:val="en-ZA"/>
        </w:rPr>
        <w:t xml:space="preserve">Due to being an unconditional transfer, the </w:t>
      </w:r>
      <w:proofErr w:type="spellStart"/>
      <w:r w:rsidRPr="005A797C">
        <w:rPr>
          <w:rFonts w:ascii="Arial" w:hAnsi="Arial" w:cs="Arial"/>
          <w:sz w:val="22"/>
          <w:szCs w:val="22"/>
          <w:lang w:val="en-ZA"/>
        </w:rPr>
        <w:t>DoRA</w:t>
      </w:r>
      <w:proofErr w:type="spellEnd"/>
      <w:r w:rsidRPr="005A797C">
        <w:rPr>
          <w:rFonts w:ascii="Arial" w:hAnsi="Arial" w:cs="Arial"/>
          <w:sz w:val="22"/>
          <w:szCs w:val="22"/>
          <w:lang w:val="en-ZA"/>
        </w:rPr>
        <w:t xml:space="preserve"> does not give National Treasury and </w:t>
      </w:r>
      <w:proofErr w:type="spellStart"/>
      <w:r w:rsidRPr="005A797C">
        <w:rPr>
          <w:rFonts w:ascii="Arial" w:hAnsi="Arial" w:cs="Arial"/>
          <w:sz w:val="22"/>
          <w:szCs w:val="22"/>
          <w:lang w:val="en-ZA"/>
        </w:rPr>
        <w:t>DCoG</w:t>
      </w:r>
      <w:proofErr w:type="spellEnd"/>
      <w:r w:rsidRPr="005A797C">
        <w:rPr>
          <w:rFonts w:ascii="Arial" w:hAnsi="Arial" w:cs="Arial"/>
          <w:sz w:val="22"/>
          <w:szCs w:val="22"/>
          <w:lang w:val="en-ZA"/>
        </w:rPr>
        <w:t xml:space="preserve"> the powers to monitor LGES expenditure. </w:t>
      </w:r>
      <w:r w:rsidR="002F18E2">
        <w:rPr>
          <w:rFonts w:ascii="Arial" w:hAnsi="Arial" w:cs="Arial"/>
          <w:sz w:val="22"/>
          <w:szCs w:val="22"/>
          <w:lang w:val="en-ZA"/>
        </w:rPr>
        <w:t xml:space="preserve"> </w:t>
      </w:r>
      <w:r w:rsidRPr="005A797C">
        <w:rPr>
          <w:rFonts w:ascii="Arial" w:hAnsi="Arial" w:cs="Arial"/>
          <w:sz w:val="22"/>
          <w:szCs w:val="22"/>
          <w:lang w:val="en-ZA"/>
        </w:rPr>
        <w:t xml:space="preserve">This is different for conditional grants as the </w:t>
      </w:r>
      <w:proofErr w:type="spellStart"/>
      <w:r w:rsidRPr="005A797C">
        <w:rPr>
          <w:rFonts w:ascii="Arial" w:hAnsi="Arial" w:cs="Arial"/>
          <w:sz w:val="22"/>
          <w:szCs w:val="22"/>
          <w:lang w:val="en-ZA"/>
        </w:rPr>
        <w:t>DoRA</w:t>
      </w:r>
      <w:proofErr w:type="spellEnd"/>
      <w:r w:rsidRPr="005A797C">
        <w:rPr>
          <w:rFonts w:ascii="Arial" w:hAnsi="Arial" w:cs="Arial"/>
          <w:sz w:val="22"/>
          <w:szCs w:val="22"/>
          <w:lang w:val="en-ZA"/>
        </w:rPr>
        <w:t xml:space="preserve"> is explicit on the monthly and quarterly reporting and monitoring requirements for these transfers. </w:t>
      </w:r>
      <w:r w:rsidR="002F18E2">
        <w:rPr>
          <w:rFonts w:ascii="Arial" w:hAnsi="Arial" w:cs="Arial"/>
          <w:sz w:val="22"/>
          <w:szCs w:val="22"/>
          <w:lang w:val="en-ZA"/>
        </w:rPr>
        <w:t xml:space="preserve"> </w:t>
      </w:r>
      <w:r w:rsidRPr="005A797C">
        <w:rPr>
          <w:rFonts w:ascii="Arial" w:hAnsi="Arial" w:cs="Arial"/>
          <w:sz w:val="22"/>
          <w:szCs w:val="22"/>
          <w:lang w:val="en-ZA"/>
        </w:rPr>
        <w:t xml:space="preserve">As noted above, the poverty threshold used in the LGES formula - which along with the cost factor for each service – determines each municipality’s allocation for each service in the </w:t>
      </w:r>
      <w:r w:rsidR="00231DD6">
        <w:rPr>
          <w:rFonts w:ascii="Arial" w:hAnsi="Arial" w:cs="Arial"/>
          <w:sz w:val="22"/>
          <w:szCs w:val="22"/>
          <w:lang w:val="en-ZA"/>
        </w:rPr>
        <w:t>FBS</w:t>
      </w:r>
      <w:r w:rsidRPr="005A797C">
        <w:rPr>
          <w:rFonts w:ascii="Arial" w:hAnsi="Arial" w:cs="Arial"/>
          <w:sz w:val="22"/>
          <w:szCs w:val="22"/>
          <w:lang w:val="en-ZA"/>
        </w:rPr>
        <w:t xml:space="preserve"> component, is not an official poverty line or a required level to be used by municipalities in their own indigence policies. </w:t>
      </w:r>
      <w:r w:rsidR="002F18E2">
        <w:rPr>
          <w:rFonts w:ascii="Arial" w:hAnsi="Arial" w:cs="Arial"/>
          <w:sz w:val="22"/>
          <w:szCs w:val="22"/>
          <w:lang w:val="en-ZA"/>
        </w:rPr>
        <w:t xml:space="preserve"> </w:t>
      </w:r>
      <w:r w:rsidRPr="005A797C">
        <w:rPr>
          <w:rFonts w:ascii="Arial" w:hAnsi="Arial" w:cs="Arial"/>
          <w:sz w:val="22"/>
          <w:szCs w:val="22"/>
          <w:lang w:val="en-ZA"/>
        </w:rPr>
        <w:t xml:space="preserve">The Explanatory memo to </w:t>
      </w:r>
      <w:proofErr w:type="spellStart"/>
      <w:r w:rsidRPr="005A797C">
        <w:rPr>
          <w:rFonts w:ascii="Arial" w:hAnsi="Arial" w:cs="Arial"/>
          <w:sz w:val="22"/>
          <w:szCs w:val="22"/>
          <w:lang w:val="en-ZA"/>
        </w:rPr>
        <w:t>DoRA</w:t>
      </w:r>
      <w:proofErr w:type="spellEnd"/>
      <w:r w:rsidRPr="005A797C">
        <w:rPr>
          <w:rFonts w:ascii="Arial" w:hAnsi="Arial" w:cs="Arial"/>
          <w:sz w:val="22"/>
          <w:szCs w:val="22"/>
          <w:lang w:val="en-ZA"/>
        </w:rPr>
        <w:t xml:space="preserve"> does however state that, if municipalities choose to provide free basic services to fewer </w:t>
      </w:r>
      <w:r w:rsidRPr="005A797C">
        <w:rPr>
          <w:rFonts w:ascii="Arial" w:hAnsi="Arial" w:cs="Arial"/>
          <w:sz w:val="22"/>
          <w:szCs w:val="22"/>
          <w:lang w:val="en-ZA"/>
        </w:rPr>
        <w:lastRenderedPageBreak/>
        <w:t>households than what they are funded for through the LGES, then their budget documentation should clearly set out why they have made that choice and how they have consulted with their community during the budget process.</w:t>
      </w:r>
    </w:p>
    <w:p w:rsidR="005A797C" w:rsidRPr="00F740FF" w:rsidRDefault="005A797C" w:rsidP="00410BF4">
      <w:pPr>
        <w:pStyle w:val="ListParagraph"/>
        <w:spacing w:line="360" w:lineRule="auto"/>
        <w:rPr>
          <w:rFonts w:ascii="Arial" w:hAnsi="Arial" w:cs="Arial"/>
          <w:sz w:val="22"/>
          <w:szCs w:val="22"/>
          <w:lang w:val="en-ZA"/>
        </w:rPr>
      </w:pPr>
    </w:p>
    <w:p w:rsidR="00AF2538" w:rsidRPr="00410BF4" w:rsidRDefault="00B17ADC" w:rsidP="00410BF4">
      <w:pPr>
        <w:pStyle w:val="ListParagraph"/>
        <w:numPr>
          <w:ilvl w:val="0"/>
          <w:numId w:val="16"/>
        </w:numPr>
        <w:spacing w:line="360" w:lineRule="auto"/>
        <w:jc w:val="both"/>
        <w:rPr>
          <w:rFonts w:ascii="Arial" w:hAnsi="Arial" w:cs="Arial"/>
          <w:sz w:val="22"/>
          <w:szCs w:val="22"/>
          <w:lang w:val="en-ZA"/>
        </w:rPr>
      </w:pPr>
      <w:r w:rsidRPr="00410BF4">
        <w:rPr>
          <w:rFonts w:ascii="Arial" w:hAnsi="Arial" w:cs="Arial"/>
          <w:sz w:val="22"/>
          <w:szCs w:val="22"/>
          <w:lang w:val="en-ZA"/>
        </w:rPr>
        <w:t>Different national departments</w:t>
      </w:r>
      <w:r w:rsidR="0096237D" w:rsidRPr="00410BF4">
        <w:rPr>
          <w:rFonts w:ascii="Arial" w:hAnsi="Arial" w:cs="Arial"/>
          <w:sz w:val="22"/>
          <w:szCs w:val="22"/>
          <w:lang w:val="en-ZA"/>
        </w:rPr>
        <w:t xml:space="preserve"> or NTOs</w:t>
      </w:r>
      <w:r w:rsidRPr="00410BF4">
        <w:rPr>
          <w:rFonts w:ascii="Arial" w:hAnsi="Arial" w:cs="Arial"/>
          <w:sz w:val="22"/>
          <w:szCs w:val="22"/>
          <w:lang w:val="en-ZA"/>
        </w:rPr>
        <w:t xml:space="preserve"> administer conditional grants</w:t>
      </w:r>
      <w:r w:rsidR="00BF56B6" w:rsidRPr="00410BF4">
        <w:rPr>
          <w:rFonts w:ascii="Arial" w:hAnsi="Arial" w:cs="Arial"/>
          <w:sz w:val="22"/>
          <w:szCs w:val="22"/>
          <w:lang w:val="en-ZA"/>
        </w:rPr>
        <w:t xml:space="preserve">, and these </w:t>
      </w:r>
      <w:proofErr w:type="gramStart"/>
      <w:r w:rsidR="00BF56B6" w:rsidRPr="00410BF4">
        <w:rPr>
          <w:rFonts w:ascii="Arial" w:hAnsi="Arial" w:cs="Arial"/>
          <w:sz w:val="22"/>
          <w:szCs w:val="22"/>
          <w:lang w:val="en-ZA"/>
        </w:rPr>
        <w:t xml:space="preserve">departments </w:t>
      </w:r>
      <w:r w:rsidR="0025178F" w:rsidRPr="00410BF4">
        <w:rPr>
          <w:rFonts w:ascii="Arial" w:hAnsi="Arial" w:cs="Arial"/>
          <w:sz w:val="22"/>
          <w:szCs w:val="22"/>
          <w:lang w:val="en-ZA"/>
        </w:rPr>
        <w:t xml:space="preserve"> are</w:t>
      </w:r>
      <w:proofErr w:type="gramEnd"/>
      <w:r w:rsidR="0025178F" w:rsidRPr="00410BF4">
        <w:rPr>
          <w:rFonts w:ascii="Arial" w:hAnsi="Arial" w:cs="Arial"/>
          <w:sz w:val="22"/>
          <w:szCs w:val="22"/>
          <w:lang w:val="en-ZA"/>
        </w:rPr>
        <w:t xml:space="preserve"> responsible for monitoring and ensuring</w:t>
      </w:r>
      <w:r w:rsidRPr="00410BF4">
        <w:rPr>
          <w:rFonts w:ascii="Arial" w:hAnsi="Arial" w:cs="Arial"/>
          <w:sz w:val="22"/>
          <w:szCs w:val="22"/>
          <w:lang w:val="en-ZA"/>
        </w:rPr>
        <w:t xml:space="preserve"> that the</w:t>
      </w:r>
      <w:r w:rsidR="00BF56B6" w:rsidRPr="00410BF4">
        <w:rPr>
          <w:rFonts w:ascii="Arial" w:hAnsi="Arial" w:cs="Arial"/>
          <w:sz w:val="22"/>
          <w:szCs w:val="22"/>
          <w:lang w:val="en-ZA"/>
        </w:rPr>
        <w:t xml:space="preserve"> conditional grants they allocate to municipalities are spent on their intended purpose. </w:t>
      </w:r>
      <w:r w:rsidR="00410BF4" w:rsidRPr="00410BF4">
        <w:rPr>
          <w:rFonts w:ascii="Arial" w:hAnsi="Arial" w:cs="Arial"/>
          <w:sz w:val="22"/>
          <w:szCs w:val="22"/>
          <w:lang w:val="en-ZA"/>
        </w:rPr>
        <w:t xml:space="preserve"> </w:t>
      </w:r>
      <w:r w:rsidR="00BF56B6" w:rsidRPr="00410BF4">
        <w:rPr>
          <w:rFonts w:ascii="Arial" w:hAnsi="Arial" w:cs="Arial"/>
          <w:sz w:val="22"/>
          <w:szCs w:val="22"/>
          <w:lang w:val="en-ZA"/>
        </w:rPr>
        <w:t xml:space="preserve">This is done through ensuring compliance with </w:t>
      </w:r>
      <w:proofErr w:type="spellStart"/>
      <w:r w:rsidR="00BF56B6" w:rsidRPr="00410BF4">
        <w:rPr>
          <w:rFonts w:ascii="Arial" w:hAnsi="Arial" w:cs="Arial"/>
          <w:sz w:val="22"/>
          <w:szCs w:val="22"/>
          <w:lang w:val="en-ZA"/>
        </w:rPr>
        <w:t>DoRA</w:t>
      </w:r>
      <w:proofErr w:type="spellEnd"/>
      <w:r w:rsidR="00BF56B6" w:rsidRPr="00410BF4">
        <w:rPr>
          <w:rFonts w:ascii="Arial" w:hAnsi="Arial" w:cs="Arial"/>
          <w:sz w:val="22"/>
          <w:szCs w:val="22"/>
          <w:lang w:val="en-ZA"/>
        </w:rPr>
        <w:t xml:space="preserve"> and the applicable conditional grants framework by municipalities</w:t>
      </w:r>
      <w:r w:rsidR="0025178F" w:rsidRPr="00410BF4">
        <w:rPr>
          <w:rFonts w:ascii="Arial" w:hAnsi="Arial" w:cs="Arial"/>
          <w:sz w:val="22"/>
          <w:szCs w:val="22"/>
          <w:lang w:val="en-ZA"/>
        </w:rPr>
        <w:t>,</w:t>
      </w:r>
      <w:r w:rsidR="00BF56B6" w:rsidRPr="00410BF4">
        <w:rPr>
          <w:rFonts w:ascii="Arial" w:hAnsi="Arial" w:cs="Arial"/>
          <w:sz w:val="22"/>
          <w:szCs w:val="22"/>
          <w:lang w:val="en-ZA"/>
        </w:rPr>
        <w:t xml:space="preserve"> including providing business plans, implementation plans and cash flows. Municipalities also need to report on a monthly and quarterly basis to the national department administering the grant. </w:t>
      </w:r>
      <w:r w:rsidR="00410BF4" w:rsidRPr="00410BF4">
        <w:rPr>
          <w:rFonts w:ascii="Arial" w:hAnsi="Arial" w:cs="Arial"/>
          <w:sz w:val="22"/>
          <w:szCs w:val="22"/>
          <w:lang w:val="en-ZA"/>
        </w:rPr>
        <w:t xml:space="preserve"> </w:t>
      </w:r>
      <w:r w:rsidR="00BF56B6" w:rsidRPr="00410BF4">
        <w:rPr>
          <w:rFonts w:ascii="Arial" w:hAnsi="Arial" w:cs="Arial"/>
          <w:sz w:val="22"/>
          <w:szCs w:val="22"/>
          <w:lang w:val="en-ZA"/>
        </w:rPr>
        <w:t xml:space="preserve">The administering department also monitors and undertake site visits to ensure compliance by </w:t>
      </w:r>
      <w:r w:rsidRPr="00410BF4">
        <w:rPr>
          <w:rFonts w:ascii="Arial" w:hAnsi="Arial" w:cs="Arial"/>
          <w:sz w:val="22"/>
          <w:szCs w:val="22"/>
          <w:lang w:val="en-ZA"/>
        </w:rPr>
        <w:t>municipalities</w:t>
      </w:r>
      <w:r w:rsidR="0025178F" w:rsidRPr="00410BF4">
        <w:rPr>
          <w:rFonts w:ascii="Arial" w:hAnsi="Arial" w:cs="Arial"/>
          <w:sz w:val="22"/>
          <w:szCs w:val="22"/>
          <w:lang w:val="en-ZA"/>
        </w:rPr>
        <w:t xml:space="preserve">. </w:t>
      </w:r>
      <w:r w:rsidR="00410BF4" w:rsidRPr="00410BF4">
        <w:rPr>
          <w:rFonts w:ascii="Arial" w:hAnsi="Arial" w:cs="Arial"/>
          <w:sz w:val="22"/>
          <w:szCs w:val="22"/>
          <w:lang w:val="en-ZA"/>
        </w:rPr>
        <w:t xml:space="preserve"> </w:t>
      </w:r>
      <w:r w:rsidR="0025178F" w:rsidRPr="00410BF4">
        <w:rPr>
          <w:rFonts w:ascii="Arial" w:hAnsi="Arial" w:cs="Arial"/>
          <w:sz w:val="22"/>
          <w:szCs w:val="22"/>
          <w:lang w:val="en-ZA"/>
        </w:rPr>
        <w:t xml:space="preserve">Where there is non-compliance, they ought to apply the levers available to them through </w:t>
      </w:r>
      <w:proofErr w:type="spellStart"/>
      <w:r w:rsidR="0025178F" w:rsidRPr="00410BF4">
        <w:rPr>
          <w:rFonts w:ascii="Arial" w:hAnsi="Arial" w:cs="Arial"/>
          <w:sz w:val="22"/>
          <w:szCs w:val="22"/>
          <w:lang w:val="en-ZA"/>
        </w:rPr>
        <w:t>DoRA</w:t>
      </w:r>
      <w:proofErr w:type="spellEnd"/>
      <w:r w:rsidR="0025178F" w:rsidRPr="00410BF4">
        <w:rPr>
          <w:rFonts w:ascii="Arial" w:hAnsi="Arial" w:cs="Arial"/>
          <w:sz w:val="22"/>
          <w:szCs w:val="22"/>
          <w:lang w:val="en-ZA"/>
        </w:rPr>
        <w:t>, which include</w:t>
      </w:r>
      <w:r w:rsidR="00410BF4" w:rsidRPr="00410BF4">
        <w:rPr>
          <w:rFonts w:ascii="Arial" w:hAnsi="Arial" w:cs="Arial"/>
          <w:sz w:val="22"/>
          <w:szCs w:val="22"/>
          <w:lang w:val="en-ZA"/>
        </w:rPr>
        <w:t>s</w:t>
      </w:r>
      <w:r w:rsidR="0025178F" w:rsidRPr="00410BF4">
        <w:rPr>
          <w:rFonts w:ascii="Arial" w:hAnsi="Arial" w:cs="Arial"/>
          <w:sz w:val="22"/>
          <w:szCs w:val="22"/>
          <w:lang w:val="en-ZA"/>
        </w:rPr>
        <w:t xml:space="preserve"> withholding transfers</w:t>
      </w:r>
      <w:r w:rsidR="00410BF4" w:rsidRPr="00410BF4">
        <w:rPr>
          <w:rFonts w:ascii="Arial" w:hAnsi="Arial" w:cs="Arial"/>
          <w:sz w:val="22"/>
          <w:szCs w:val="22"/>
          <w:lang w:val="en-ZA"/>
        </w:rPr>
        <w:t xml:space="preserve"> and they </w:t>
      </w:r>
      <w:r w:rsidR="005E6BC3" w:rsidRPr="00410BF4">
        <w:rPr>
          <w:rFonts w:ascii="Arial" w:hAnsi="Arial" w:cs="Arial"/>
          <w:sz w:val="22"/>
          <w:szCs w:val="22"/>
          <w:lang w:val="en-ZA"/>
        </w:rPr>
        <w:t xml:space="preserve">may </w:t>
      </w:r>
      <w:r w:rsidR="00BF56B6" w:rsidRPr="00410BF4">
        <w:rPr>
          <w:rFonts w:ascii="Arial" w:hAnsi="Arial" w:cs="Arial"/>
          <w:sz w:val="22"/>
          <w:szCs w:val="22"/>
          <w:lang w:val="en-ZA"/>
        </w:rPr>
        <w:t xml:space="preserve">propose the stopping and reallocation of a portion or an entire </w:t>
      </w:r>
      <w:r w:rsidR="0025178F" w:rsidRPr="00410BF4">
        <w:rPr>
          <w:rFonts w:ascii="Arial" w:hAnsi="Arial" w:cs="Arial"/>
          <w:sz w:val="22"/>
          <w:szCs w:val="22"/>
          <w:lang w:val="en-ZA"/>
        </w:rPr>
        <w:t xml:space="preserve">municipality's </w:t>
      </w:r>
      <w:r w:rsidR="00BF56B6" w:rsidRPr="00410BF4">
        <w:rPr>
          <w:rFonts w:ascii="Arial" w:hAnsi="Arial" w:cs="Arial"/>
          <w:sz w:val="22"/>
          <w:szCs w:val="22"/>
          <w:lang w:val="en-ZA"/>
        </w:rPr>
        <w:t>grant allocation.</w:t>
      </w:r>
    </w:p>
    <w:p w:rsidR="005E6BC3" w:rsidRPr="005E6BC3" w:rsidRDefault="005E6BC3" w:rsidP="00410BF4">
      <w:pPr>
        <w:pStyle w:val="ListParagraph"/>
        <w:spacing w:line="360" w:lineRule="auto"/>
        <w:jc w:val="both"/>
        <w:rPr>
          <w:rFonts w:ascii="Calibri" w:hAnsi="Calibri" w:cs="Calibri"/>
          <w:sz w:val="22"/>
          <w:szCs w:val="22"/>
          <w:lang w:val="en-ZA"/>
        </w:rPr>
      </w:pPr>
    </w:p>
    <w:p w:rsidR="00CC0446" w:rsidRPr="001D4F51" w:rsidRDefault="00A97A28" w:rsidP="00410BF4">
      <w:pPr>
        <w:spacing w:line="360" w:lineRule="auto"/>
        <w:ind w:left="567"/>
        <w:jc w:val="both"/>
        <w:rPr>
          <w:rFonts w:ascii="Arial" w:hAnsi="Arial" w:cs="Arial"/>
          <w:sz w:val="22"/>
          <w:szCs w:val="22"/>
          <w:lang w:val="en-ZA"/>
        </w:rPr>
      </w:pPr>
      <w:r w:rsidRPr="001D4F51">
        <w:rPr>
          <w:rFonts w:ascii="Arial" w:hAnsi="Arial" w:cs="Arial"/>
          <w:sz w:val="22"/>
          <w:szCs w:val="22"/>
          <w:lang w:val="en-ZA"/>
        </w:rPr>
        <w:t xml:space="preserve">In order to guard against the misuse of conditional grants, if </w:t>
      </w:r>
      <w:r w:rsidR="00410BF4">
        <w:rPr>
          <w:rFonts w:ascii="Arial" w:hAnsi="Arial" w:cs="Arial"/>
          <w:sz w:val="22"/>
          <w:szCs w:val="22"/>
          <w:lang w:val="en-ZA"/>
        </w:rPr>
        <w:t xml:space="preserve">the </w:t>
      </w:r>
      <w:r w:rsidRPr="001D4F51">
        <w:rPr>
          <w:rFonts w:ascii="Arial" w:hAnsi="Arial" w:cs="Arial"/>
          <w:sz w:val="22"/>
          <w:szCs w:val="22"/>
          <w:lang w:val="en-ZA"/>
        </w:rPr>
        <w:t>National Treasury</w:t>
      </w:r>
      <w:r w:rsidR="00410BF4">
        <w:rPr>
          <w:rFonts w:ascii="Arial" w:hAnsi="Arial" w:cs="Arial"/>
          <w:sz w:val="22"/>
          <w:szCs w:val="22"/>
          <w:lang w:val="en-ZA"/>
        </w:rPr>
        <w:t xml:space="preserve"> </w:t>
      </w:r>
      <w:r w:rsidR="00C1432F" w:rsidRPr="001D4F51">
        <w:rPr>
          <w:rFonts w:ascii="Arial" w:hAnsi="Arial" w:cs="Arial"/>
          <w:sz w:val="22"/>
          <w:szCs w:val="22"/>
          <w:lang w:val="en-ZA"/>
        </w:rPr>
        <w:t>(NT)</w:t>
      </w:r>
      <w:r w:rsidRPr="001D4F51">
        <w:rPr>
          <w:rFonts w:ascii="Arial" w:hAnsi="Arial" w:cs="Arial"/>
          <w:sz w:val="22"/>
          <w:szCs w:val="22"/>
          <w:lang w:val="en-ZA"/>
        </w:rPr>
        <w:t xml:space="preserve"> anticipates that a municipality may underspend on the allocation or a portion of the allocation, </w:t>
      </w:r>
      <w:r w:rsidR="0086373C" w:rsidRPr="001D4F51">
        <w:rPr>
          <w:rFonts w:ascii="Arial" w:hAnsi="Arial" w:cs="Arial"/>
          <w:sz w:val="22"/>
          <w:szCs w:val="22"/>
          <w:lang w:val="en-ZA"/>
        </w:rPr>
        <w:t>NT may in its discretion or on request of a transferring officer</w:t>
      </w:r>
      <w:r w:rsidRPr="001D4F51">
        <w:rPr>
          <w:rFonts w:ascii="Arial" w:hAnsi="Arial" w:cs="Arial"/>
          <w:sz w:val="22"/>
          <w:szCs w:val="22"/>
          <w:lang w:val="en-ZA"/>
        </w:rPr>
        <w:t xml:space="preserve">, </w:t>
      </w:r>
      <w:r w:rsidR="0086373C" w:rsidRPr="001D4F51">
        <w:rPr>
          <w:rFonts w:ascii="Arial" w:hAnsi="Arial" w:cs="Arial"/>
          <w:sz w:val="22"/>
          <w:szCs w:val="22"/>
          <w:lang w:val="en-ZA"/>
        </w:rPr>
        <w:t>withhold, stop and re-allocate the transfer of a Schedule 4B or 5B allocation, or a portion to a municipality</w:t>
      </w:r>
      <w:r w:rsidRPr="001D4F51">
        <w:rPr>
          <w:rFonts w:ascii="Arial" w:hAnsi="Arial" w:cs="Arial"/>
          <w:sz w:val="22"/>
          <w:szCs w:val="22"/>
          <w:lang w:val="en-ZA"/>
        </w:rPr>
        <w:t xml:space="preserve">. </w:t>
      </w:r>
      <w:r w:rsidR="00410BF4">
        <w:rPr>
          <w:rFonts w:ascii="Arial" w:hAnsi="Arial" w:cs="Arial"/>
          <w:sz w:val="22"/>
          <w:szCs w:val="22"/>
          <w:lang w:val="en-ZA"/>
        </w:rPr>
        <w:t xml:space="preserve"> </w:t>
      </w:r>
      <w:r w:rsidRPr="001D4F51">
        <w:rPr>
          <w:rFonts w:ascii="Arial" w:hAnsi="Arial" w:cs="Arial"/>
          <w:sz w:val="22"/>
          <w:szCs w:val="22"/>
          <w:lang w:val="en-ZA"/>
        </w:rPr>
        <w:t>This is in line with</w:t>
      </w:r>
      <w:r w:rsidR="0086373C" w:rsidRPr="001D4F51">
        <w:rPr>
          <w:rFonts w:ascii="Arial" w:hAnsi="Arial" w:cs="Arial"/>
          <w:sz w:val="22"/>
          <w:szCs w:val="22"/>
          <w:lang w:val="en-ZA"/>
        </w:rPr>
        <w:t xml:space="preserve"> sections 17,18 and 19 of the </w:t>
      </w:r>
      <w:r w:rsidR="0025178F" w:rsidRPr="001D4F51">
        <w:rPr>
          <w:rFonts w:ascii="Arial" w:hAnsi="Arial" w:cs="Arial"/>
          <w:sz w:val="22"/>
          <w:szCs w:val="22"/>
          <w:lang w:val="en-ZA"/>
        </w:rPr>
        <w:t xml:space="preserve">2020 </w:t>
      </w:r>
      <w:proofErr w:type="spellStart"/>
      <w:r w:rsidR="0086373C" w:rsidRPr="001D4F51">
        <w:rPr>
          <w:rFonts w:ascii="Arial" w:hAnsi="Arial" w:cs="Arial"/>
          <w:sz w:val="22"/>
          <w:szCs w:val="22"/>
          <w:lang w:val="en-ZA"/>
        </w:rPr>
        <w:t>DoRA</w:t>
      </w:r>
      <w:proofErr w:type="spellEnd"/>
      <w:r w:rsidRPr="001D4F51">
        <w:rPr>
          <w:rFonts w:ascii="Arial" w:hAnsi="Arial" w:cs="Arial"/>
          <w:sz w:val="22"/>
          <w:szCs w:val="22"/>
          <w:lang w:val="en-ZA"/>
        </w:rPr>
        <w:t xml:space="preserve">  and Section 38 of the Municipal Finance Management Act, 2003 (Act No. 56 of 2003)</w:t>
      </w:r>
      <w:r w:rsidR="00231DD6">
        <w:rPr>
          <w:rFonts w:ascii="Arial" w:hAnsi="Arial" w:cs="Arial"/>
          <w:sz w:val="22"/>
          <w:szCs w:val="22"/>
          <w:lang w:val="en-ZA"/>
        </w:rPr>
        <w:t xml:space="preserve"> </w:t>
      </w:r>
      <w:r w:rsidRPr="001D4F51">
        <w:rPr>
          <w:rFonts w:ascii="Arial" w:hAnsi="Arial" w:cs="Arial"/>
          <w:sz w:val="22"/>
          <w:szCs w:val="22"/>
          <w:lang w:val="en-ZA"/>
        </w:rPr>
        <w:t xml:space="preserve">(MFMA). </w:t>
      </w:r>
      <w:r w:rsidR="00410BF4">
        <w:rPr>
          <w:rFonts w:ascii="Arial" w:hAnsi="Arial" w:cs="Arial"/>
          <w:sz w:val="22"/>
          <w:szCs w:val="22"/>
          <w:lang w:val="en-ZA"/>
        </w:rPr>
        <w:t xml:space="preserve"> </w:t>
      </w:r>
      <w:r w:rsidR="0086373C" w:rsidRPr="001D4F51">
        <w:rPr>
          <w:rFonts w:ascii="Arial" w:hAnsi="Arial" w:cs="Arial"/>
          <w:sz w:val="22"/>
          <w:szCs w:val="22"/>
          <w:lang w:val="en-ZA"/>
        </w:rPr>
        <w:t>Further, in</w:t>
      </w:r>
      <w:r w:rsidR="00CA1CE4" w:rsidRPr="001D4F51">
        <w:rPr>
          <w:rFonts w:ascii="Arial" w:hAnsi="Arial" w:cs="Arial"/>
          <w:sz w:val="22"/>
          <w:szCs w:val="22"/>
          <w:lang w:val="en-ZA"/>
        </w:rPr>
        <w:t xml:space="preserve"> instances where mu</w:t>
      </w:r>
      <w:r w:rsidRPr="001D4F51">
        <w:rPr>
          <w:rFonts w:ascii="Arial" w:hAnsi="Arial" w:cs="Arial"/>
          <w:sz w:val="22"/>
          <w:szCs w:val="22"/>
          <w:lang w:val="en-ZA"/>
        </w:rPr>
        <w:t>nicipalities</w:t>
      </w:r>
      <w:r w:rsidR="00CA1CE4" w:rsidRPr="001D4F51">
        <w:rPr>
          <w:rFonts w:ascii="Arial" w:hAnsi="Arial" w:cs="Arial"/>
          <w:sz w:val="22"/>
          <w:szCs w:val="22"/>
          <w:lang w:val="en-ZA"/>
        </w:rPr>
        <w:t xml:space="preserve"> commit serious or persistent breach of any of the provisions of the </w:t>
      </w:r>
      <w:proofErr w:type="spellStart"/>
      <w:r w:rsidR="00CA1CE4" w:rsidRPr="001D4F51">
        <w:rPr>
          <w:rFonts w:ascii="Arial" w:hAnsi="Arial" w:cs="Arial"/>
          <w:sz w:val="22"/>
          <w:szCs w:val="22"/>
          <w:lang w:val="en-ZA"/>
        </w:rPr>
        <w:t>DoRA</w:t>
      </w:r>
      <w:proofErr w:type="spellEnd"/>
      <w:r w:rsidRPr="001D4F51">
        <w:rPr>
          <w:rFonts w:ascii="Arial" w:hAnsi="Arial" w:cs="Arial"/>
          <w:sz w:val="22"/>
          <w:szCs w:val="22"/>
          <w:lang w:val="en-ZA"/>
        </w:rPr>
        <w:t xml:space="preserve"> or the MFMA</w:t>
      </w:r>
      <w:r w:rsidR="00CA1CE4" w:rsidRPr="001D4F51">
        <w:rPr>
          <w:rFonts w:ascii="Arial" w:hAnsi="Arial" w:cs="Arial"/>
          <w:sz w:val="22"/>
          <w:szCs w:val="22"/>
          <w:lang w:val="en-ZA"/>
        </w:rPr>
        <w:t>, N</w:t>
      </w:r>
      <w:r w:rsidRPr="001D4F51">
        <w:rPr>
          <w:rFonts w:ascii="Arial" w:hAnsi="Arial" w:cs="Arial"/>
          <w:sz w:val="22"/>
          <w:szCs w:val="22"/>
          <w:lang w:val="en-ZA"/>
        </w:rPr>
        <w:t xml:space="preserve">T may </w:t>
      </w:r>
      <w:r w:rsidR="00CA1CE4" w:rsidRPr="001D4F51">
        <w:rPr>
          <w:rFonts w:ascii="Arial" w:hAnsi="Arial" w:cs="Arial"/>
          <w:sz w:val="22"/>
          <w:szCs w:val="22"/>
          <w:lang w:val="en-ZA"/>
        </w:rPr>
        <w:t xml:space="preserve">decide to stop or withhold funds to a municipality by invoking section 216(2) of the Constitution </w:t>
      </w:r>
      <w:r w:rsidR="009E409F" w:rsidRPr="001D4F51">
        <w:rPr>
          <w:rFonts w:ascii="Arial" w:hAnsi="Arial" w:cs="Arial"/>
          <w:sz w:val="22"/>
          <w:szCs w:val="22"/>
          <w:lang w:val="en-ZA"/>
        </w:rPr>
        <w:t xml:space="preserve">and section 39 of MFMA </w:t>
      </w:r>
      <w:r w:rsidR="00CA1CE4" w:rsidRPr="001D4F51">
        <w:rPr>
          <w:rFonts w:ascii="Arial" w:hAnsi="Arial" w:cs="Arial"/>
          <w:sz w:val="22"/>
          <w:szCs w:val="22"/>
          <w:lang w:val="en-ZA"/>
        </w:rPr>
        <w:t>for no more than 120 days</w:t>
      </w:r>
      <w:r w:rsidR="009E409F" w:rsidRPr="001D4F51">
        <w:rPr>
          <w:rFonts w:ascii="Arial" w:hAnsi="Arial" w:cs="Arial"/>
          <w:sz w:val="22"/>
          <w:szCs w:val="22"/>
          <w:lang w:val="en-ZA"/>
        </w:rPr>
        <w:t xml:space="preserve"> subject to an approval by Parliament</w:t>
      </w:r>
      <w:r w:rsidR="00CA1CE4" w:rsidRPr="001D4F51">
        <w:rPr>
          <w:rFonts w:ascii="Arial" w:hAnsi="Arial" w:cs="Arial"/>
          <w:sz w:val="22"/>
          <w:szCs w:val="22"/>
          <w:lang w:val="en-ZA"/>
        </w:rPr>
        <w:t xml:space="preserve">. </w:t>
      </w:r>
    </w:p>
    <w:p w:rsidR="005E6BC3" w:rsidRDefault="005E6BC3" w:rsidP="00410BF4">
      <w:pPr>
        <w:spacing w:line="360" w:lineRule="auto"/>
        <w:jc w:val="both"/>
        <w:rPr>
          <w:rFonts w:ascii="Calibri" w:hAnsi="Calibri" w:cs="Calibri"/>
          <w:sz w:val="22"/>
          <w:szCs w:val="22"/>
          <w:lang w:val="en-ZA"/>
        </w:rPr>
      </w:pPr>
    </w:p>
    <w:p w:rsidR="00863713" w:rsidRDefault="00410BF4" w:rsidP="00410BF4">
      <w:pPr>
        <w:pStyle w:val="ListParagraph"/>
        <w:numPr>
          <w:ilvl w:val="0"/>
          <w:numId w:val="14"/>
        </w:numPr>
        <w:spacing w:line="360" w:lineRule="auto"/>
        <w:ind w:left="567" w:hanging="567"/>
        <w:jc w:val="both"/>
        <w:rPr>
          <w:rFonts w:ascii="Arial" w:hAnsi="Arial" w:cs="Arial"/>
          <w:sz w:val="22"/>
          <w:szCs w:val="22"/>
          <w:lang w:val="en-ZA"/>
        </w:rPr>
      </w:pPr>
      <w:r>
        <w:rPr>
          <w:rFonts w:ascii="Arial" w:hAnsi="Arial" w:cs="Arial"/>
          <w:sz w:val="22"/>
          <w:szCs w:val="22"/>
          <w:lang w:val="en-ZA"/>
        </w:rPr>
        <w:t xml:space="preserve">NT has </w:t>
      </w:r>
      <w:r w:rsidR="00AF2538" w:rsidRPr="0096237D">
        <w:rPr>
          <w:rFonts w:ascii="Arial" w:hAnsi="Arial" w:cs="Arial"/>
          <w:sz w:val="22"/>
          <w:szCs w:val="22"/>
          <w:lang w:val="en-ZA"/>
        </w:rPr>
        <w:t xml:space="preserve">not been informed </w:t>
      </w:r>
      <w:r>
        <w:rPr>
          <w:rFonts w:ascii="Arial" w:hAnsi="Arial" w:cs="Arial"/>
          <w:sz w:val="22"/>
          <w:szCs w:val="22"/>
          <w:lang w:val="en-ZA"/>
        </w:rPr>
        <w:t xml:space="preserve">and </w:t>
      </w:r>
      <w:r w:rsidR="00AF2538" w:rsidRPr="0096237D">
        <w:rPr>
          <w:rFonts w:ascii="Arial" w:hAnsi="Arial" w:cs="Arial"/>
          <w:sz w:val="22"/>
          <w:szCs w:val="22"/>
          <w:lang w:val="en-ZA"/>
        </w:rPr>
        <w:t>would not be in a position to determine that the funds for free basic ser</w:t>
      </w:r>
      <w:r>
        <w:rPr>
          <w:rFonts w:ascii="Arial" w:hAnsi="Arial" w:cs="Arial"/>
          <w:sz w:val="22"/>
          <w:szCs w:val="22"/>
          <w:lang w:val="en-ZA"/>
        </w:rPr>
        <w:t>vices have been spent on other areas</w:t>
      </w:r>
      <w:r w:rsidR="00863713">
        <w:rPr>
          <w:rFonts w:ascii="Arial" w:hAnsi="Arial" w:cs="Arial"/>
          <w:sz w:val="22"/>
          <w:szCs w:val="22"/>
          <w:lang w:val="en-ZA"/>
        </w:rPr>
        <w:t xml:space="preserve"> given that the a</w:t>
      </w:r>
      <w:r w:rsidR="001A5C86">
        <w:rPr>
          <w:rFonts w:ascii="Arial" w:hAnsi="Arial" w:cs="Arial"/>
          <w:sz w:val="22"/>
          <w:szCs w:val="22"/>
          <w:lang w:val="en-ZA"/>
        </w:rPr>
        <w:t xml:space="preserve">llocations indicated by the </w:t>
      </w:r>
      <w:proofErr w:type="spellStart"/>
      <w:r w:rsidR="001A5C86">
        <w:rPr>
          <w:rFonts w:ascii="Arial" w:hAnsi="Arial" w:cs="Arial"/>
          <w:sz w:val="22"/>
          <w:szCs w:val="22"/>
          <w:lang w:val="en-ZA"/>
        </w:rPr>
        <w:t>formula</w:t>
      </w:r>
      <w:r w:rsidR="00863713">
        <w:rPr>
          <w:rFonts w:ascii="Arial" w:hAnsi="Arial" w:cs="Arial"/>
          <w:sz w:val="22"/>
          <w:szCs w:val="22"/>
          <w:lang w:val="en-ZA"/>
        </w:rPr>
        <w:t>l</w:t>
      </w:r>
      <w:proofErr w:type="spellEnd"/>
      <w:r w:rsidR="00863713">
        <w:rPr>
          <w:rFonts w:ascii="Arial" w:hAnsi="Arial" w:cs="Arial"/>
          <w:sz w:val="22"/>
          <w:szCs w:val="22"/>
          <w:lang w:val="en-ZA"/>
        </w:rPr>
        <w:t xml:space="preserve"> are not meant to be indicator of budgets but to ensure equitable allocations per </w:t>
      </w:r>
      <w:proofErr w:type="spellStart"/>
      <w:r w:rsidR="00863713">
        <w:rPr>
          <w:rFonts w:ascii="Arial" w:hAnsi="Arial" w:cs="Arial"/>
          <w:sz w:val="22"/>
          <w:szCs w:val="22"/>
          <w:lang w:val="en-ZA"/>
        </w:rPr>
        <w:t>muncipality</w:t>
      </w:r>
      <w:proofErr w:type="spellEnd"/>
      <w:r w:rsidR="00AF2538" w:rsidRPr="0096237D">
        <w:rPr>
          <w:rFonts w:ascii="Arial" w:hAnsi="Arial" w:cs="Arial"/>
          <w:sz w:val="22"/>
          <w:szCs w:val="22"/>
          <w:lang w:val="en-ZA"/>
        </w:rPr>
        <w:t xml:space="preserve">. </w:t>
      </w:r>
      <w:r>
        <w:rPr>
          <w:rFonts w:ascii="Arial" w:hAnsi="Arial" w:cs="Arial"/>
          <w:sz w:val="22"/>
          <w:szCs w:val="22"/>
          <w:lang w:val="en-ZA"/>
        </w:rPr>
        <w:t xml:space="preserve"> </w:t>
      </w:r>
      <w:r w:rsidR="00AF2538" w:rsidRPr="0096237D">
        <w:rPr>
          <w:rFonts w:ascii="Arial" w:hAnsi="Arial" w:cs="Arial"/>
          <w:sz w:val="22"/>
          <w:szCs w:val="22"/>
          <w:lang w:val="en-ZA"/>
        </w:rPr>
        <w:t>What</w:t>
      </w:r>
      <w:r w:rsidR="00AF2538" w:rsidRPr="005E6BC3">
        <w:rPr>
          <w:rFonts w:ascii="Calibri" w:hAnsi="Calibri" w:cs="Calibri"/>
          <w:sz w:val="22"/>
          <w:szCs w:val="22"/>
          <w:lang w:val="en-ZA"/>
        </w:rPr>
        <w:t xml:space="preserve"> </w:t>
      </w:r>
      <w:r w:rsidR="00AF2538" w:rsidRPr="0096237D">
        <w:rPr>
          <w:rFonts w:ascii="Arial" w:hAnsi="Arial" w:cs="Arial"/>
          <w:sz w:val="22"/>
          <w:szCs w:val="22"/>
          <w:lang w:val="en-ZA"/>
        </w:rPr>
        <w:t xml:space="preserve">can </w:t>
      </w:r>
      <w:r w:rsidR="005E6BC3" w:rsidRPr="0096237D">
        <w:rPr>
          <w:rFonts w:ascii="Arial" w:hAnsi="Arial" w:cs="Arial"/>
          <w:sz w:val="22"/>
          <w:szCs w:val="22"/>
          <w:lang w:val="en-ZA"/>
        </w:rPr>
        <w:t xml:space="preserve">be </w:t>
      </w:r>
      <w:r w:rsidR="00AF2538" w:rsidRPr="0096237D">
        <w:rPr>
          <w:rFonts w:ascii="Arial" w:hAnsi="Arial" w:cs="Arial"/>
          <w:sz w:val="22"/>
          <w:szCs w:val="22"/>
          <w:lang w:val="en-ZA"/>
        </w:rPr>
        <w:t>of assistance is for</w:t>
      </w:r>
      <w:r w:rsidR="005E6BC3" w:rsidRPr="0096237D">
        <w:rPr>
          <w:rFonts w:ascii="Arial" w:hAnsi="Arial" w:cs="Arial"/>
          <w:sz w:val="22"/>
          <w:szCs w:val="22"/>
          <w:lang w:val="en-ZA"/>
        </w:rPr>
        <w:t xml:space="preserve"> the respective</w:t>
      </w:r>
      <w:r w:rsidR="00AF2538" w:rsidRPr="0096237D">
        <w:rPr>
          <w:rFonts w:ascii="Arial" w:hAnsi="Arial" w:cs="Arial"/>
          <w:sz w:val="22"/>
          <w:szCs w:val="22"/>
          <w:lang w:val="en-ZA"/>
        </w:rPr>
        <w:t xml:space="preserve"> municipal council</w:t>
      </w:r>
      <w:r w:rsidR="005E6BC3" w:rsidRPr="0096237D">
        <w:rPr>
          <w:rFonts w:ascii="Arial" w:hAnsi="Arial" w:cs="Arial"/>
          <w:sz w:val="22"/>
          <w:szCs w:val="22"/>
          <w:lang w:val="en-ZA"/>
        </w:rPr>
        <w:t>s</w:t>
      </w:r>
      <w:r w:rsidR="00AF2538" w:rsidRPr="0096237D">
        <w:rPr>
          <w:rFonts w:ascii="Arial" w:hAnsi="Arial" w:cs="Arial"/>
          <w:sz w:val="22"/>
          <w:szCs w:val="22"/>
          <w:lang w:val="en-ZA"/>
        </w:rPr>
        <w:t xml:space="preserve"> to have ways of monitoring budget spending by municipalities and ensur</w:t>
      </w:r>
      <w:r w:rsidR="0025178F">
        <w:rPr>
          <w:rFonts w:ascii="Arial" w:hAnsi="Arial" w:cs="Arial"/>
          <w:sz w:val="22"/>
          <w:szCs w:val="22"/>
          <w:lang w:val="en-ZA"/>
        </w:rPr>
        <w:t>e</w:t>
      </w:r>
      <w:r w:rsidR="00AF2538" w:rsidRPr="0096237D">
        <w:rPr>
          <w:rFonts w:ascii="Arial" w:hAnsi="Arial" w:cs="Arial"/>
          <w:sz w:val="22"/>
          <w:szCs w:val="22"/>
          <w:lang w:val="en-ZA"/>
        </w:rPr>
        <w:t xml:space="preserve"> that there is consequence management for non-compliance with the </w:t>
      </w:r>
      <w:proofErr w:type="spellStart"/>
      <w:r w:rsidR="00AF2538" w:rsidRPr="0096237D">
        <w:rPr>
          <w:rFonts w:ascii="Arial" w:hAnsi="Arial" w:cs="Arial"/>
          <w:sz w:val="22"/>
          <w:szCs w:val="22"/>
          <w:lang w:val="en-ZA"/>
        </w:rPr>
        <w:t>DoRA</w:t>
      </w:r>
      <w:proofErr w:type="spellEnd"/>
      <w:r w:rsidR="00AF2538" w:rsidRPr="0096237D">
        <w:rPr>
          <w:rFonts w:ascii="Arial" w:hAnsi="Arial" w:cs="Arial"/>
          <w:sz w:val="22"/>
          <w:szCs w:val="22"/>
          <w:lang w:val="en-ZA"/>
        </w:rPr>
        <w:t xml:space="preserve"> prescripts </w:t>
      </w:r>
      <w:r>
        <w:rPr>
          <w:rFonts w:ascii="Arial" w:hAnsi="Arial" w:cs="Arial"/>
          <w:sz w:val="22"/>
          <w:szCs w:val="22"/>
          <w:lang w:val="en-ZA"/>
        </w:rPr>
        <w:t xml:space="preserve">as </w:t>
      </w:r>
      <w:r w:rsidR="00AF2538" w:rsidRPr="0096237D">
        <w:rPr>
          <w:rFonts w:ascii="Arial" w:hAnsi="Arial" w:cs="Arial"/>
          <w:sz w:val="22"/>
          <w:szCs w:val="22"/>
          <w:lang w:val="en-ZA"/>
        </w:rPr>
        <w:t>the council</w:t>
      </w:r>
      <w:r w:rsidR="005E6BC3" w:rsidRPr="0096237D">
        <w:rPr>
          <w:rFonts w:ascii="Arial" w:hAnsi="Arial" w:cs="Arial"/>
          <w:sz w:val="22"/>
          <w:szCs w:val="22"/>
          <w:lang w:val="en-ZA"/>
        </w:rPr>
        <w:t>s</w:t>
      </w:r>
      <w:r w:rsidR="00AF2538" w:rsidRPr="0096237D">
        <w:rPr>
          <w:rFonts w:ascii="Arial" w:hAnsi="Arial" w:cs="Arial"/>
          <w:sz w:val="22"/>
          <w:szCs w:val="22"/>
          <w:lang w:val="en-ZA"/>
        </w:rPr>
        <w:t xml:space="preserve"> and municipal man</w:t>
      </w:r>
      <w:r w:rsidR="0025178F">
        <w:rPr>
          <w:rFonts w:ascii="Arial" w:hAnsi="Arial" w:cs="Arial"/>
          <w:sz w:val="22"/>
          <w:szCs w:val="22"/>
          <w:lang w:val="en-ZA"/>
        </w:rPr>
        <w:t>a</w:t>
      </w:r>
      <w:r w:rsidR="0025178F" w:rsidRPr="0096237D">
        <w:rPr>
          <w:rFonts w:ascii="Arial" w:hAnsi="Arial" w:cs="Arial"/>
          <w:sz w:val="22"/>
          <w:szCs w:val="22"/>
          <w:lang w:val="en-ZA"/>
        </w:rPr>
        <w:t>gers have powers to implement such measures.</w:t>
      </w:r>
    </w:p>
    <w:sectPr w:rsidR="00863713" w:rsidSect="004F43FB">
      <w:pgSz w:w="12240" w:h="15840" w:code="1"/>
      <w:pgMar w:top="1418" w:right="1418" w:bottom="1418"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72F" w:rsidRDefault="00C8172F" w:rsidP="00380E88">
      <w:r>
        <w:separator/>
      </w:r>
    </w:p>
  </w:endnote>
  <w:endnote w:type="continuationSeparator" w:id="0">
    <w:p w:rsidR="00C8172F" w:rsidRDefault="00C8172F" w:rsidP="00380E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72F" w:rsidRDefault="00C8172F" w:rsidP="00380E88">
      <w:r>
        <w:separator/>
      </w:r>
    </w:p>
  </w:footnote>
  <w:footnote w:type="continuationSeparator" w:id="0">
    <w:p w:rsidR="00C8172F" w:rsidRDefault="00C8172F" w:rsidP="00380E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86358"/>
    <w:multiLevelType w:val="hybridMultilevel"/>
    <w:tmpl w:val="EA5A1634"/>
    <w:lvl w:ilvl="0" w:tplc="45C887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972A7B"/>
    <w:multiLevelType w:val="hybridMultilevel"/>
    <w:tmpl w:val="849A897E"/>
    <w:lvl w:ilvl="0" w:tplc="D85CD680">
      <w:start w:val="3"/>
      <w:numFmt w:val="decimal"/>
      <w:lvlText w:val="%1."/>
      <w:lvlJc w:val="left"/>
      <w:pPr>
        <w:ind w:left="1440" w:hanging="360"/>
      </w:pPr>
      <w:rPr>
        <w:rFonts w:ascii="Calibri" w:hAnsi="Calibri" w:cs="Calibri"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E7F469A"/>
    <w:multiLevelType w:val="hybridMultilevel"/>
    <w:tmpl w:val="921CA30C"/>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3">
    <w:nsid w:val="411B779C"/>
    <w:multiLevelType w:val="hybridMultilevel"/>
    <w:tmpl w:val="B82E44F2"/>
    <w:lvl w:ilvl="0" w:tplc="1C09000D">
      <w:start w:val="1"/>
      <w:numFmt w:val="bullet"/>
      <w:lvlText w:val=""/>
      <w:lvlJc w:val="left"/>
      <w:pPr>
        <w:ind w:left="1485" w:hanging="360"/>
      </w:pPr>
      <w:rPr>
        <w:rFonts w:ascii="Wingdings" w:hAnsi="Wingdings" w:hint="default"/>
      </w:rPr>
    </w:lvl>
    <w:lvl w:ilvl="1" w:tplc="1C090003">
      <w:start w:val="1"/>
      <w:numFmt w:val="bullet"/>
      <w:lvlText w:val="o"/>
      <w:lvlJc w:val="left"/>
      <w:pPr>
        <w:ind w:left="2205" w:hanging="360"/>
      </w:pPr>
      <w:rPr>
        <w:rFonts w:ascii="Courier New" w:hAnsi="Courier New" w:cs="Courier New" w:hint="default"/>
      </w:rPr>
    </w:lvl>
    <w:lvl w:ilvl="2" w:tplc="1C090005">
      <w:start w:val="1"/>
      <w:numFmt w:val="bullet"/>
      <w:lvlText w:val=""/>
      <w:lvlJc w:val="left"/>
      <w:pPr>
        <w:ind w:left="2925" w:hanging="360"/>
      </w:pPr>
      <w:rPr>
        <w:rFonts w:ascii="Wingdings" w:hAnsi="Wingdings" w:hint="default"/>
      </w:rPr>
    </w:lvl>
    <w:lvl w:ilvl="3" w:tplc="1C090001">
      <w:start w:val="1"/>
      <w:numFmt w:val="bullet"/>
      <w:lvlText w:val=""/>
      <w:lvlJc w:val="left"/>
      <w:pPr>
        <w:ind w:left="3645" w:hanging="360"/>
      </w:pPr>
      <w:rPr>
        <w:rFonts w:ascii="Symbol" w:hAnsi="Symbol" w:hint="default"/>
      </w:rPr>
    </w:lvl>
    <w:lvl w:ilvl="4" w:tplc="1C090003">
      <w:start w:val="1"/>
      <w:numFmt w:val="bullet"/>
      <w:lvlText w:val="o"/>
      <w:lvlJc w:val="left"/>
      <w:pPr>
        <w:ind w:left="4365" w:hanging="360"/>
      </w:pPr>
      <w:rPr>
        <w:rFonts w:ascii="Courier New" w:hAnsi="Courier New" w:cs="Courier New" w:hint="default"/>
      </w:rPr>
    </w:lvl>
    <w:lvl w:ilvl="5" w:tplc="1C090005">
      <w:start w:val="1"/>
      <w:numFmt w:val="bullet"/>
      <w:lvlText w:val=""/>
      <w:lvlJc w:val="left"/>
      <w:pPr>
        <w:ind w:left="5085" w:hanging="360"/>
      </w:pPr>
      <w:rPr>
        <w:rFonts w:ascii="Wingdings" w:hAnsi="Wingdings" w:hint="default"/>
      </w:rPr>
    </w:lvl>
    <w:lvl w:ilvl="6" w:tplc="1C090001">
      <w:start w:val="1"/>
      <w:numFmt w:val="bullet"/>
      <w:lvlText w:val=""/>
      <w:lvlJc w:val="left"/>
      <w:pPr>
        <w:ind w:left="5805" w:hanging="360"/>
      </w:pPr>
      <w:rPr>
        <w:rFonts w:ascii="Symbol" w:hAnsi="Symbol" w:hint="default"/>
      </w:rPr>
    </w:lvl>
    <w:lvl w:ilvl="7" w:tplc="1C090003">
      <w:start w:val="1"/>
      <w:numFmt w:val="bullet"/>
      <w:lvlText w:val="o"/>
      <w:lvlJc w:val="left"/>
      <w:pPr>
        <w:ind w:left="6525" w:hanging="360"/>
      </w:pPr>
      <w:rPr>
        <w:rFonts w:ascii="Courier New" w:hAnsi="Courier New" w:cs="Courier New" w:hint="default"/>
      </w:rPr>
    </w:lvl>
    <w:lvl w:ilvl="8" w:tplc="1C090005">
      <w:start w:val="1"/>
      <w:numFmt w:val="bullet"/>
      <w:lvlText w:val=""/>
      <w:lvlJc w:val="left"/>
      <w:pPr>
        <w:ind w:left="7245" w:hanging="360"/>
      </w:pPr>
      <w:rPr>
        <w:rFonts w:ascii="Wingdings" w:hAnsi="Wingdings" w:hint="default"/>
      </w:rPr>
    </w:lvl>
  </w:abstractNum>
  <w:abstractNum w:abstractNumId="4">
    <w:nsid w:val="45B02496"/>
    <w:multiLevelType w:val="hybridMultilevel"/>
    <w:tmpl w:val="F8128A2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50E76143"/>
    <w:multiLevelType w:val="hybridMultilevel"/>
    <w:tmpl w:val="57D2642E"/>
    <w:lvl w:ilvl="0" w:tplc="1C090001">
      <w:start w:val="1"/>
      <w:numFmt w:val="bullet"/>
      <w:lvlText w:val=""/>
      <w:lvlJc w:val="left"/>
      <w:pPr>
        <w:ind w:left="1770" w:hanging="360"/>
      </w:pPr>
      <w:rPr>
        <w:rFonts w:ascii="Symbol" w:hAnsi="Symbol" w:hint="default"/>
      </w:rPr>
    </w:lvl>
    <w:lvl w:ilvl="1" w:tplc="1C090003" w:tentative="1">
      <w:start w:val="1"/>
      <w:numFmt w:val="bullet"/>
      <w:lvlText w:val="o"/>
      <w:lvlJc w:val="left"/>
      <w:pPr>
        <w:ind w:left="2490" w:hanging="360"/>
      </w:pPr>
      <w:rPr>
        <w:rFonts w:ascii="Courier New" w:hAnsi="Courier New" w:cs="Courier New" w:hint="default"/>
      </w:rPr>
    </w:lvl>
    <w:lvl w:ilvl="2" w:tplc="1C090005" w:tentative="1">
      <w:start w:val="1"/>
      <w:numFmt w:val="bullet"/>
      <w:lvlText w:val=""/>
      <w:lvlJc w:val="left"/>
      <w:pPr>
        <w:ind w:left="3210" w:hanging="360"/>
      </w:pPr>
      <w:rPr>
        <w:rFonts w:ascii="Wingdings" w:hAnsi="Wingdings" w:hint="default"/>
      </w:rPr>
    </w:lvl>
    <w:lvl w:ilvl="3" w:tplc="1C090001" w:tentative="1">
      <w:start w:val="1"/>
      <w:numFmt w:val="bullet"/>
      <w:lvlText w:val=""/>
      <w:lvlJc w:val="left"/>
      <w:pPr>
        <w:ind w:left="3930" w:hanging="360"/>
      </w:pPr>
      <w:rPr>
        <w:rFonts w:ascii="Symbol" w:hAnsi="Symbol" w:hint="default"/>
      </w:rPr>
    </w:lvl>
    <w:lvl w:ilvl="4" w:tplc="1C090003" w:tentative="1">
      <w:start w:val="1"/>
      <w:numFmt w:val="bullet"/>
      <w:lvlText w:val="o"/>
      <w:lvlJc w:val="left"/>
      <w:pPr>
        <w:ind w:left="4650" w:hanging="360"/>
      </w:pPr>
      <w:rPr>
        <w:rFonts w:ascii="Courier New" w:hAnsi="Courier New" w:cs="Courier New" w:hint="default"/>
      </w:rPr>
    </w:lvl>
    <w:lvl w:ilvl="5" w:tplc="1C090005" w:tentative="1">
      <w:start w:val="1"/>
      <w:numFmt w:val="bullet"/>
      <w:lvlText w:val=""/>
      <w:lvlJc w:val="left"/>
      <w:pPr>
        <w:ind w:left="5370" w:hanging="360"/>
      </w:pPr>
      <w:rPr>
        <w:rFonts w:ascii="Wingdings" w:hAnsi="Wingdings" w:hint="default"/>
      </w:rPr>
    </w:lvl>
    <w:lvl w:ilvl="6" w:tplc="1C090001" w:tentative="1">
      <w:start w:val="1"/>
      <w:numFmt w:val="bullet"/>
      <w:lvlText w:val=""/>
      <w:lvlJc w:val="left"/>
      <w:pPr>
        <w:ind w:left="6090" w:hanging="360"/>
      </w:pPr>
      <w:rPr>
        <w:rFonts w:ascii="Symbol" w:hAnsi="Symbol" w:hint="default"/>
      </w:rPr>
    </w:lvl>
    <w:lvl w:ilvl="7" w:tplc="1C090003" w:tentative="1">
      <w:start w:val="1"/>
      <w:numFmt w:val="bullet"/>
      <w:lvlText w:val="o"/>
      <w:lvlJc w:val="left"/>
      <w:pPr>
        <w:ind w:left="6810" w:hanging="360"/>
      </w:pPr>
      <w:rPr>
        <w:rFonts w:ascii="Courier New" w:hAnsi="Courier New" w:cs="Courier New" w:hint="default"/>
      </w:rPr>
    </w:lvl>
    <w:lvl w:ilvl="8" w:tplc="1C090005" w:tentative="1">
      <w:start w:val="1"/>
      <w:numFmt w:val="bullet"/>
      <w:lvlText w:val=""/>
      <w:lvlJc w:val="left"/>
      <w:pPr>
        <w:ind w:left="7530" w:hanging="360"/>
      </w:pPr>
      <w:rPr>
        <w:rFonts w:ascii="Wingdings" w:hAnsi="Wingdings" w:hint="default"/>
      </w:rPr>
    </w:lvl>
  </w:abstractNum>
  <w:abstractNum w:abstractNumId="6">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666667"/>
    <w:multiLevelType w:val="hybridMultilevel"/>
    <w:tmpl w:val="102E25EA"/>
    <w:lvl w:ilvl="0" w:tplc="FED4B4E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5C0907F7"/>
    <w:multiLevelType w:val="hybridMultilevel"/>
    <w:tmpl w:val="5F62BCBC"/>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9">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6F101B26"/>
    <w:multiLevelType w:val="hybridMultilevel"/>
    <w:tmpl w:val="9FEC9468"/>
    <w:lvl w:ilvl="0" w:tplc="1C09000F">
      <w:start w:val="1"/>
      <w:numFmt w:val="decimal"/>
      <w:lvlText w:val="%1."/>
      <w:lvlJc w:val="left"/>
      <w:pPr>
        <w:ind w:left="1080" w:hanging="360"/>
      </w:pPr>
      <w:rPr>
        <w:rFonts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4E12C40"/>
    <w:multiLevelType w:val="hybridMultilevel"/>
    <w:tmpl w:val="90F230B0"/>
    <w:lvl w:ilvl="0" w:tplc="5D121180">
      <w:start w:val="1"/>
      <w:numFmt w:val="decimal"/>
      <w:lvlText w:val="%1."/>
      <w:lvlJc w:val="left"/>
      <w:pPr>
        <w:tabs>
          <w:tab w:val="num" w:pos="720"/>
        </w:tabs>
        <w:ind w:left="720" w:hanging="360"/>
      </w:pPr>
    </w:lvl>
    <w:lvl w:ilvl="1" w:tplc="C10EB5AA" w:tentative="1">
      <w:start w:val="1"/>
      <w:numFmt w:val="decimal"/>
      <w:lvlText w:val="%2."/>
      <w:lvlJc w:val="left"/>
      <w:pPr>
        <w:tabs>
          <w:tab w:val="num" w:pos="1440"/>
        </w:tabs>
        <w:ind w:left="1440" w:hanging="360"/>
      </w:pPr>
    </w:lvl>
    <w:lvl w:ilvl="2" w:tplc="AB7EA4CC" w:tentative="1">
      <w:start w:val="1"/>
      <w:numFmt w:val="decimal"/>
      <w:lvlText w:val="%3."/>
      <w:lvlJc w:val="left"/>
      <w:pPr>
        <w:tabs>
          <w:tab w:val="num" w:pos="2160"/>
        </w:tabs>
        <w:ind w:left="2160" w:hanging="360"/>
      </w:pPr>
    </w:lvl>
    <w:lvl w:ilvl="3" w:tplc="99364B2A" w:tentative="1">
      <w:start w:val="1"/>
      <w:numFmt w:val="decimal"/>
      <w:lvlText w:val="%4."/>
      <w:lvlJc w:val="left"/>
      <w:pPr>
        <w:tabs>
          <w:tab w:val="num" w:pos="2880"/>
        </w:tabs>
        <w:ind w:left="2880" w:hanging="360"/>
      </w:pPr>
    </w:lvl>
    <w:lvl w:ilvl="4" w:tplc="F56E1016" w:tentative="1">
      <w:start w:val="1"/>
      <w:numFmt w:val="decimal"/>
      <w:lvlText w:val="%5."/>
      <w:lvlJc w:val="left"/>
      <w:pPr>
        <w:tabs>
          <w:tab w:val="num" w:pos="3600"/>
        </w:tabs>
        <w:ind w:left="3600" w:hanging="360"/>
      </w:pPr>
    </w:lvl>
    <w:lvl w:ilvl="5" w:tplc="7EE69E20" w:tentative="1">
      <w:start w:val="1"/>
      <w:numFmt w:val="decimal"/>
      <w:lvlText w:val="%6."/>
      <w:lvlJc w:val="left"/>
      <w:pPr>
        <w:tabs>
          <w:tab w:val="num" w:pos="4320"/>
        </w:tabs>
        <w:ind w:left="4320" w:hanging="360"/>
      </w:pPr>
    </w:lvl>
    <w:lvl w:ilvl="6" w:tplc="E07EEBC0" w:tentative="1">
      <w:start w:val="1"/>
      <w:numFmt w:val="decimal"/>
      <w:lvlText w:val="%7."/>
      <w:lvlJc w:val="left"/>
      <w:pPr>
        <w:tabs>
          <w:tab w:val="num" w:pos="5040"/>
        </w:tabs>
        <w:ind w:left="5040" w:hanging="360"/>
      </w:pPr>
    </w:lvl>
    <w:lvl w:ilvl="7" w:tplc="E682A978" w:tentative="1">
      <w:start w:val="1"/>
      <w:numFmt w:val="decimal"/>
      <w:lvlText w:val="%8."/>
      <w:lvlJc w:val="left"/>
      <w:pPr>
        <w:tabs>
          <w:tab w:val="num" w:pos="5760"/>
        </w:tabs>
        <w:ind w:left="5760" w:hanging="360"/>
      </w:pPr>
    </w:lvl>
    <w:lvl w:ilvl="8" w:tplc="FCF60DF4" w:tentative="1">
      <w:start w:val="1"/>
      <w:numFmt w:val="decimal"/>
      <w:lvlText w:val="%9."/>
      <w:lvlJc w:val="left"/>
      <w:pPr>
        <w:tabs>
          <w:tab w:val="num" w:pos="6480"/>
        </w:tabs>
        <w:ind w:left="6480" w:hanging="360"/>
      </w:pPr>
    </w:lvl>
  </w:abstractNum>
  <w:abstractNum w:abstractNumId="13">
    <w:nsid w:val="7BC038E3"/>
    <w:multiLevelType w:val="hybridMultilevel"/>
    <w:tmpl w:val="1D78CB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nsid w:val="7F9E1957"/>
    <w:multiLevelType w:val="hybridMultilevel"/>
    <w:tmpl w:val="C41A8D20"/>
    <w:lvl w:ilvl="0" w:tplc="1C090001">
      <w:start w:val="1"/>
      <w:numFmt w:val="bullet"/>
      <w:lvlText w:val=""/>
      <w:lvlJc w:val="left"/>
      <w:pPr>
        <w:ind w:left="1845" w:hanging="360"/>
      </w:pPr>
      <w:rPr>
        <w:rFonts w:ascii="Symbol" w:hAnsi="Symbol" w:hint="default"/>
      </w:rPr>
    </w:lvl>
    <w:lvl w:ilvl="1" w:tplc="1C090003" w:tentative="1">
      <w:start w:val="1"/>
      <w:numFmt w:val="bullet"/>
      <w:lvlText w:val="o"/>
      <w:lvlJc w:val="left"/>
      <w:pPr>
        <w:ind w:left="2565" w:hanging="360"/>
      </w:pPr>
      <w:rPr>
        <w:rFonts w:ascii="Courier New" w:hAnsi="Courier New" w:cs="Courier New" w:hint="default"/>
      </w:rPr>
    </w:lvl>
    <w:lvl w:ilvl="2" w:tplc="1C090005" w:tentative="1">
      <w:start w:val="1"/>
      <w:numFmt w:val="bullet"/>
      <w:lvlText w:val=""/>
      <w:lvlJc w:val="left"/>
      <w:pPr>
        <w:ind w:left="3285" w:hanging="360"/>
      </w:pPr>
      <w:rPr>
        <w:rFonts w:ascii="Wingdings" w:hAnsi="Wingdings" w:hint="default"/>
      </w:rPr>
    </w:lvl>
    <w:lvl w:ilvl="3" w:tplc="1C090001" w:tentative="1">
      <w:start w:val="1"/>
      <w:numFmt w:val="bullet"/>
      <w:lvlText w:val=""/>
      <w:lvlJc w:val="left"/>
      <w:pPr>
        <w:ind w:left="4005" w:hanging="360"/>
      </w:pPr>
      <w:rPr>
        <w:rFonts w:ascii="Symbol" w:hAnsi="Symbol" w:hint="default"/>
      </w:rPr>
    </w:lvl>
    <w:lvl w:ilvl="4" w:tplc="1C090003" w:tentative="1">
      <w:start w:val="1"/>
      <w:numFmt w:val="bullet"/>
      <w:lvlText w:val="o"/>
      <w:lvlJc w:val="left"/>
      <w:pPr>
        <w:ind w:left="4725" w:hanging="360"/>
      </w:pPr>
      <w:rPr>
        <w:rFonts w:ascii="Courier New" w:hAnsi="Courier New" w:cs="Courier New" w:hint="default"/>
      </w:rPr>
    </w:lvl>
    <w:lvl w:ilvl="5" w:tplc="1C090005" w:tentative="1">
      <w:start w:val="1"/>
      <w:numFmt w:val="bullet"/>
      <w:lvlText w:val=""/>
      <w:lvlJc w:val="left"/>
      <w:pPr>
        <w:ind w:left="5445" w:hanging="360"/>
      </w:pPr>
      <w:rPr>
        <w:rFonts w:ascii="Wingdings" w:hAnsi="Wingdings" w:hint="default"/>
      </w:rPr>
    </w:lvl>
    <w:lvl w:ilvl="6" w:tplc="1C090001" w:tentative="1">
      <w:start w:val="1"/>
      <w:numFmt w:val="bullet"/>
      <w:lvlText w:val=""/>
      <w:lvlJc w:val="left"/>
      <w:pPr>
        <w:ind w:left="6165" w:hanging="360"/>
      </w:pPr>
      <w:rPr>
        <w:rFonts w:ascii="Symbol" w:hAnsi="Symbol" w:hint="default"/>
      </w:rPr>
    </w:lvl>
    <w:lvl w:ilvl="7" w:tplc="1C090003" w:tentative="1">
      <w:start w:val="1"/>
      <w:numFmt w:val="bullet"/>
      <w:lvlText w:val="o"/>
      <w:lvlJc w:val="left"/>
      <w:pPr>
        <w:ind w:left="6885" w:hanging="360"/>
      </w:pPr>
      <w:rPr>
        <w:rFonts w:ascii="Courier New" w:hAnsi="Courier New" w:cs="Courier New" w:hint="default"/>
      </w:rPr>
    </w:lvl>
    <w:lvl w:ilvl="8" w:tplc="1C090005" w:tentative="1">
      <w:start w:val="1"/>
      <w:numFmt w:val="bullet"/>
      <w:lvlText w:val=""/>
      <w:lvlJc w:val="left"/>
      <w:pPr>
        <w:ind w:left="7605" w:hanging="360"/>
      </w:pPr>
      <w:rPr>
        <w:rFonts w:ascii="Wingdings" w:hAnsi="Wingdings" w:hint="default"/>
      </w:rPr>
    </w:lvl>
  </w:abstractNum>
  <w:num w:numId="1">
    <w:abstractNumId w:val="9"/>
  </w:num>
  <w:num w:numId="2">
    <w:abstractNumId w:val="10"/>
  </w:num>
  <w:num w:numId="3">
    <w:abstractNumId w:val="6"/>
  </w:num>
  <w:num w:numId="4">
    <w:abstractNumId w:val="4"/>
  </w:num>
  <w:num w:numId="5">
    <w:abstractNumId w:val="13"/>
  </w:num>
  <w:num w:numId="6">
    <w:abstractNumId w:val="3"/>
  </w:num>
  <w:num w:numId="7">
    <w:abstractNumId w:val="3"/>
  </w:num>
  <w:num w:numId="8">
    <w:abstractNumId w:val="14"/>
  </w:num>
  <w:num w:numId="9">
    <w:abstractNumId w:val="2"/>
  </w:num>
  <w:num w:numId="10">
    <w:abstractNumId w:val="5"/>
  </w:num>
  <w:num w:numId="11">
    <w:abstractNumId w:val="12"/>
  </w:num>
  <w:num w:numId="12">
    <w:abstractNumId w:val="7"/>
  </w:num>
  <w:num w:numId="13">
    <w:abstractNumId w:val="0"/>
  </w:num>
  <w:num w:numId="14">
    <w:abstractNumId w:val="11"/>
  </w:num>
  <w:num w:numId="15">
    <w:abstractNumId w:val="1"/>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efaultTabStop w:val="720"/>
  <w:characterSpacingControl w:val="doNotCompress"/>
  <w:hdrShapeDefaults>
    <o:shapedefaults v:ext="edit" spidmax="5122"/>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MzOxNDMztzC3NDIztDBU0lEKTi0uzszPAykwqgUA/sbydCwAAAA="/>
  </w:docVars>
  <w:rsids>
    <w:rsidRoot w:val="00063E28"/>
    <w:rsid w:val="000054AE"/>
    <w:rsid w:val="00005F25"/>
    <w:rsid w:val="00011016"/>
    <w:rsid w:val="00012A82"/>
    <w:rsid w:val="000147EE"/>
    <w:rsid w:val="00016A41"/>
    <w:rsid w:val="00020C04"/>
    <w:rsid w:val="000235AD"/>
    <w:rsid w:val="00023BC3"/>
    <w:rsid w:val="00025170"/>
    <w:rsid w:val="00026160"/>
    <w:rsid w:val="0002634B"/>
    <w:rsid w:val="000319D5"/>
    <w:rsid w:val="00036E58"/>
    <w:rsid w:val="00041437"/>
    <w:rsid w:val="00042E4A"/>
    <w:rsid w:val="00053303"/>
    <w:rsid w:val="0005383F"/>
    <w:rsid w:val="00053A5A"/>
    <w:rsid w:val="00060E09"/>
    <w:rsid w:val="00063E28"/>
    <w:rsid w:val="0007743C"/>
    <w:rsid w:val="00082DDF"/>
    <w:rsid w:val="0008596C"/>
    <w:rsid w:val="000A3C32"/>
    <w:rsid w:val="000A5567"/>
    <w:rsid w:val="000A57B1"/>
    <w:rsid w:val="000B16E9"/>
    <w:rsid w:val="000B39AD"/>
    <w:rsid w:val="000B51CC"/>
    <w:rsid w:val="000B555E"/>
    <w:rsid w:val="000C2BEF"/>
    <w:rsid w:val="000C2E11"/>
    <w:rsid w:val="000C3917"/>
    <w:rsid w:val="000C48D8"/>
    <w:rsid w:val="000C78D3"/>
    <w:rsid w:val="000D5907"/>
    <w:rsid w:val="000D5DF7"/>
    <w:rsid w:val="000E1B36"/>
    <w:rsid w:val="000E2276"/>
    <w:rsid w:val="000E3AD1"/>
    <w:rsid w:val="000F0AF6"/>
    <w:rsid w:val="000F37A4"/>
    <w:rsid w:val="000F3B14"/>
    <w:rsid w:val="000F5178"/>
    <w:rsid w:val="00100CC2"/>
    <w:rsid w:val="00110946"/>
    <w:rsid w:val="00117089"/>
    <w:rsid w:val="00122C88"/>
    <w:rsid w:val="00123B87"/>
    <w:rsid w:val="00130348"/>
    <w:rsid w:val="00132CAF"/>
    <w:rsid w:val="00132CF0"/>
    <w:rsid w:val="00136677"/>
    <w:rsid w:val="001433AE"/>
    <w:rsid w:val="0014441E"/>
    <w:rsid w:val="00147193"/>
    <w:rsid w:val="0015727B"/>
    <w:rsid w:val="00170407"/>
    <w:rsid w:val="00183EB5"/>
    <w:rsid w:val="00190636"/>
    <w:rsid w:val="00197576"/>
    <w:rsid w:val="001A5C86"/>
    <w:rsid w:val="001B0917"/>
    <w:rsid w:val="001B1E0F"/>
    <w:rsid w:val="001B7F2A"/>
    <w:rsid w:val="001C1E62"/>
    <w:rsid w:val="001D24BA"/>
    <w:rsid w:val="001D267B"/>
    <w:rsid w:val="001D4937"/>
    <w:rsid w:val="001D4F51"/>
    <w:rsid w:val="001E1132"/>
    <w:rsid w:val="001E3FB5"/>
    <w:rsid w:val="001E58AC"/>
    <w:rsid w:val="001E6902"/>
    <w:rsid w:val="001F4B50"/>
    <w:rsid w:val="001F6D0E"/>
    <w:rsid w:val="001F7560"/>
    <w:rsid w:val="002039C8"/>
    <w:rsid w:val="002065BA"/>
    <w:rsid w:val="00207912"/>
    <w:rsid w:val="00223863"/>
    <w:rsid w:val="0022502D"/>
    <w:rsid w:val="00230BF6"/>
    <w:rsid w:val="002314BC"/>
    <w:rsid w:val="00231DD6"/>
    <w:rsid w:val="00236293"/>
    <w:rsid w:val="0025178F"/>
    <w:rsid w:val="00251791"/>
    <w:rsid w:val="00260251"/>
    <w:rsid w:val="00262F05"/>
    <w:rsid w:val="0026563C"/>
    <w:rsid w:val="0027436F"/>
    <w:rsid w:val="00274B53"/>
    <w:rsid w:val="002855CE"/>
    <w:rsid w:val="00285EA1"/>
    <w:rsid w:val="0028635F"/>
    <w:rsid w:val="002867DD"/>
    <w:rsid w:val="002927CD"/>
    <w:rsid w:val="00293E24"/>
    <w:rsid w:val="002A4157"/>
    <w:rsid w:val="002B3B25"/>
    <w:rsid w:val="002B41F2"/>
    <w:rsid w:val="002B7345"/>
    <w:rsid w:val="002D104B"/>
    <w:rsid w:val="002D10B3"/>
    <w:rsid w:val="002D2A4C"/>
    <w:rsid w:val="002D499A"/>
    <w:rsid w:val="002E4AA0"/>
    <w:rsid w:val="002F18E2"/>
    <w:rsid w:val="002F6E86"/>
    <w:rsid w:val="002F7301"/>
    <w:rsid w:val="0030031C"/>
    <w:rsid w:val="003005D2"/>
    <w:rsid w:val="00303F4E"/>
    <w:rsid w:val="00326CF2"/>
    <w:rsid w:val="003421BD"/>
    <w:rsid w:val="00344553"/>
    <w:rsid w:val="00345531"/>
    <w:rsid w:val="00346695"/>
    <w:rsid w:val="00351BF5"/>
    <w:rsid w:val="00354BA4"/>
    <w:rsid w:val="003704DF"/>
    <w:rsid w:val="003707A7"/>
    <w:rsid w:val="00374DCE"/>
    <w:rsid w:val="0037795E"/>
    <w:rsid w:val="00380E88"/>
    <w:rsid w:val="00393919"/>
    <w:rsid w:val="003A5B00"/>
    <w:rsid w:val="003A6BD5"/>
    <w:rsid w:val="003B0336"/>
    <w:rsid w:val="003B0A2D"/>
    <w:rsid w:val="003D0E83"/>
    <w:rsid w:val="003D5A20"/>
    <w:rsid w:val="003D6E21"/>
    <w:rsid w:val="003E03B4"/>
    <w:rsid w:val="003E2711"/>
    <w:rsid w:val="003E6A8B"/>
    <w:rsid w:val="003F1329"/>
    <w:rsid w:val="003F6A56"/>
    <w:rsid w:val="00410BF4"/>
    <w:rsid w:val="004131CB"/>
    <w:rsid w:val="00413ABE"/>
    <w:rsid w:val="00413C95"/>
    <w:rsid w:val="004206F8"/>
    <w:rsid w:val="00422EC6"/>
    <w:rsid w:val="004260E9"/>
    <w:rsid w:val="0042645C"/>
    <w:rsid w:val="00426C51"/>
    <w:rsid w:val="00427ECA"/>
    <w:rsid w:val="0043065E"/>
    <w:rsid w:val="00435EA2"/>
    <w:rsid w:val="00452540"/>
    <w:rsid w:val="00453CF1"/>
    <w:rsid w:val="0046713E"/>
    <w:rsid w:val="004674A3"/>
    <w:rsid w:val="004709BD"/>
    <w:rsid w:val="00472D86"/>
    <w:rsid w:val="00473446"/>
    <w:rsid w:val="00480D1F"/>
    <w:rsid w:val="00484737"/>
    <w:rsid w:val="00485B2E"/>
    <w:rsid w:val="00485F09"/>
    <w:rsid w:val="00496D69"/>
    <w:rsid w:val="004A078E"/>
    <w:rsid w:val="004A7866"/>
    <w:rsid w:val="004B1526"/>
    <w:rsid w:val="004C0E9B"/>
    <w:rsid w:val="004C0FCD"/>
    <w:rsid w:val="004C57A4"/>
    <w:rsid w:val="004D3BF2"/>
    <w:rsid w:val="004D3D5A"/>
    <w:rsid w:val="004D51F0"/>
    <w:rsid w:val="004D568A"/>
    <w:rsid w:val="004E3098"/>
    <w:rsid w:val="004E6E7D"/>
    <w:rsid w:val="004F43FB"/>
    <w:rsid w:val="00503CF8"/>
    <w:rsid w:val="005062A3"/>
    <w:rsid w:val="00513747"/>
    <w:rsid w:val="00513A6D"/>
    <w:rsid w:val="005141B3"/>
    <w:rsid w:val="00522B65"/>
    <w:rsid w:val="005313B2"/>
    <w:rsid w:val="00532BB4"/>
    <w:rsid w:val="0053398C"/>
    <w:rsid w:val="00533BBC"/>
    <w:rsid w:val="00533C35"/>
    <w:rsid w:val="00547158"/>
    <w:rsid w:val="00547F39"/>
    <w:rsid w:val="0055290F"/>
    <w:rsid w:val="00553EDC"/>
    <w:rsid w:val="00566101"/>
    <w:rsid w:val="005706F1"/>
    <w:rsid w:val="00574E19"/>
    <w:rsid w:val="005801E0"/>
    <w:rsid w:val="005853FD"/>
    <w:rsid w:val="005A3443"/>
    <w:rsid w:val="005A4B7A"/>
    <w:rsid w:val="005A4C31"/>
    <w:rsid w:val="005A60B5"/>
    <w:rsid w:val="005A797C"/>
    <w:rsid w:val="005B5869"/>
    <w:rsid w:val="005B6F0A"/>
    <w:rsid w:val="005B727C"/>
    <w:rsid w:val="005D0154"/>
    <w:rsid w:val="005E21D9"/>
    <w:rsid w:val="005E32E0"/>
    <w:rsid w:val="005E415D"/>
    <w:rsid w:val="005E6BC3"/>
    <w:rsid w:val="005F05C1"/>
    <w:rsid w:val="005F11A2"/>
    <w:rsid w:val="005F6B76"/>
    <w:rsid w:val="00613FC6"/>
    <w:rsid w:val="006239F1"/>
    <w:rsid w:val="00624D20"/>
    <w:rsid w:val="0062768A"/>
    <w:rsid w:val="0062770E"/>
    <w:rsid w:val="00631CD4"/>
    <w:rsid w:val="00641158"/>
    <w:rsid w:val="0064275F"/>
    <w:rsid w:val="00642B16"/>
    <w:rsid w:val="0064512A"/>
    <w:rsid w:val="00646693"/>
    <w:rsid w:val="00646E7C"/>
    <w:rsid w:val="00647EF2"/>
    <w:rsid w:val="00651616"/>
    <w:rsid w:val="00653A85"/>
    <w:rsid w:val="00666668"/>
    <w:rsid w:val="00675635"/>
    <w:rsid w:val="0068345E"/>
    <w:rsid w:val="00685058"/>
    <w:rsid w:val="00685F0E"/>
    <w:rsid w:val="00687D9E"/>
    <w:rsid w:val="00693A64"/>
    <w:rsid w:val="006951C6"/>
    <w:rsid w:val="006B61B0"/>
    <w:rsid w:val="006C2D5C"/>
    <w:rsid w:val="006C3899"/>
    <w:rsid w:val="006D1766"/>
    <w:rsid w:val="006D1B36"/>
    <w:rsid w:val="006D2C61"/>
    <w:rsid w:val="006D2F61"/>
    <w:rsid w:val="006D39E9"/>
    <w:rsid w:val="006F26DD"/>
    <w:rsid w:val="00702B5F"/>
    <w:rsid w:val="00704DC7"/>
    <w:rsid w:val="00705A95"/>
    <w:rsid w:val="007118EA"/>
    <w:rsid w:val="00712545"/>
    <w:rsid w:val="00712E95"/>
    <w:rsid w:val="00726A9C"/>
    <w:rsid w:val="00732A53"/>
    <w:rsid w:val="00734790"/>
    <w:rsid w:val="007359BF"/>
    <w:rsid w:val="00737375"/>
    <w:rsid w:val="00743F26"/>
    <w:rsid w:val="00751942"/>
    <w:rsid w:val="00751A1E"/>
    <w:rsid w:val="007540E0"/>
    <w:rsid w:val="007544A8"/>
    <w:rsid w:val="00756010"/>
    <w:rsid w:val="0076668B"/>
    <w:rsid w:val="007749D9"/>
    <w:rsid w:val="00780F57"/>
    <w:rsid w:val="00783E1A"/>
    <w:rsid w:val="0079022D"/>
    <w:rsid w:val="007914E0"/>
    <w:rsid w:val="0079284D"/>
    <w:rsid w:val="007A32AF"/>
    <w:rsid w:val="007A78C0"/>
    <w:rsid w:val="007A7DF8"/>
    <w:rsid w:val="007B1BA1"/>
    <w:rsid w:val="007C0A59"/>
    <w:rsid w:val="007C3B62"/>
    <w:rsid w:val="007C44DF"/>
    <w:rsid w:val="007C4690"/>
    <w:rsid w:val="007C51AA"/>
    <w:rsid w:val="007C5A36"/>
    <w:rsid w:val="007D08BA"/>
    <w:rsid w:val="007D25DF"/>
    <w:rsid w:val="007D4060"/>
    <w:rsid w:val="007E56A2"/>
    <w:rsid w:val="007F18AA"/>
    <w:rsid w:val="007F439B"/>
    <w:rsid w:val="007F5C89"/>
    <w:rsid w:val="007F6258"/>
    <w:rsid w:val="00800B54"/>
    <w:rsid w:val="00803AC4"/>
    <w:rsid w:val="00807B52"/>
    <w:rsid w:val="00811367"/>
    <w:rsid w:val="00813FF0"/>
    <w:rsid w:val="00814CE4"/>
    <w:rsid w:val="008223D4"/>
    <w:rsid w:val="008270A1"/>
    <w:rsid w:val="008321A4"/>
    <w:rsid w:val="0084121D"/>
    <w:rsid w:val="00852DC3"/>
    <w:rsid w:val="008600E0"/>
    <w:rsid w:val="008631A7"/>
    <w:rsid w:val="00863713"/>
    <w:rsid w:val="0086373C"/>
    <w:rsid w:val="00866056"/>
    <w:rsid w:val="00876CBB"/>
    <w:rsid w:val="008779EA"/>
    <w:rsid w:val="00880EA8"/>
    <w:rsid w:val="00886053"/>
    <w:rsid w:val="0088688A"/>
    <w:rsid w:val="00887A34"/>
    <w:rsid w:val="00891265"/>
    <w:rsid w:val="00893761"/>
    <w:rsid w:val="00897498"/>
    <w:rsid w:val="00897F0B"/>
    <w:rsid w:val="008A1D34"/>
    <w:rsid w:val="008A25B9"/>
    <w:rsid w:val="008A3396"/>
    <w:rsid w:val="008A4EBA"/>
    <w:rsid w:val="008A53E5"/>
    <w:rsid w:val="008C0D4C"/>
    <w:rsid w:val="008C2559"/>
    <w:rsid w:val="008C2974"/>
    <w:rsid w:val="008C3575"/>
    <w:rsid w:val="008C52D4"/>
    <w:rsid w:val="008D3E86"/>
    <w:rsid w:val="008E01C3"/>
    <w:rsid w:val="008E3D62"/>
    <w:rsid w:val="008E4142"/>
    <w:rsid w:val="008F2375"/>
    <w:rsid w:val="008F299B"/>
    <w:rsid w:val="008F324E"/>
    <w:rsid w:val="008F7690"/>
    <w:rsid w:val="0090058A"/>
    <w:rsid w:val="00905110"/>
    <w:rsid w:val="00910B58"/>
    <w:rsid w:val="00911717"/>
    <w:rsid w:val="0091610E"/>
    <w:rsid w:val="009163A5"/>
    <w:rsid w:val="00917C44"/>
    <w:rsid w:val="009203A2"/>
    <w:rsid w:val="009253C8"/>
    <w:rsid w:val="00933C7B"/>
    <w:rsid w:val="00933D87"/>
    <w:rsid w:val="0093680D"/>
    <w:rsid w:val="009508F2"/>
    <w:rsid w:val="00950F95"/>
    <w:rsid w:val="00953363"/>
    <w:rsid w:val="00957D1B"/>
    <w:rsid w:val="0096007E"/>
    <w:rsid w:val="00960B82"/>
    <w:rsid w:val="00961E93"/>
    <w:rsid w:val="0096237D"/>
    <w:rsid w:val="00965E2A"/>
    <w:rsid w:val="00972601"/>
    <w:rsid w:val="00976E83"/>
    <w:rsid w:val="0097786E"/>
    <w:rsid w:val="00977E9D"/>
    <w:rsid w:val="00986C1B"/>
    <w:rsid w:val="00987BC9"/>
    <w:rsid w:val="0099170A"/>
    <w:rsid w:val="009A18A7"/>
    <w:rsid w:val="009C45D6"/>
    <w:rsid w:val="009C72B2"/>
    <w:rsid w:val="009D0EC9"/>
    <w:rsid w:val="009D7D7B"/>
    <w:rsid w:val="009E1AB2"/>
    <w:rsid w:val="009E24E9"/>
    <w:rsid w:val="009E409F"/>
    <w:rsid w:val="009F2415"/>
    <w:rsid w:val="009F480A"/>
    <w:rsid w:val="00A02200"/>
    <w:rsid w:val="00A15D3C"/>
    <w:rsid w:val="00A1736D"/>
    <w:rsid w:val="00A23A3E"/>
    <w:rsid w:val="00A337C8"/>
    <w:rsid w:val="00A359DB"/>
    <w:rsid w:val="00A45496"/>
    <w:rsid w:val="00A45FE5"/>
    <w:rsid w:val="00A51431"/>
    <w:rsid w:val="00A525F0"/>
    <w:rsid w:val="00A55CB3"/>
    <w:rsid w:val="00A566A2"/>
    <w:rsid w:val="00A5731A"/>
    <w:rsid w:val="00A60DDB"/>
    <w:rsid w:val="00A677C3"/>
    <w:rsid w:val="00A72B9B"/>
    <w:rsid w:val="00A84063"/>
    <w:rsid w:val="00A84F7F"/>
    <w:rsid w:val="00A907EF"/>
    <w:rsid w:val="00A94B0E"/>
    <w:rsid w:val="00A952EA"/>
    <w:rsid w:val="00A96A79"/>
    <w:rsid w:val="00A97A28"/>
    <w:rsid w:val="00A97C66"/>
    <w:rsid w:val="00AA4ED9"/>
    <w:rsid w:val="00AB5748"/>
    <w:rsid w:val="00AB5B28"/>
    <w:rsid w:val="00AD00CE"/>
    <w:rsid w:val="00AD1B6E"/>
    <w:rsid w:val="00AD5C9B"/>
    <w:rsid w:val="00AE07DE"/>
    <w:rsid w:val="00AF2538"/>
    <w:rsid w:val="00B03AF4"/>
    <w:rsid w:val="00B03DD6"/>
    <w:rsid w:val="00B1562B"/>
    <w:rsid w:val="00B1593D"/>
    <w:rsid w:val="00B17ADC"/>
    <w:rsid w:val="00B20E37"/>
    <w:rsid w:val="00B31AAE"/>
    <w:rsid w:val="00B35E0C"/>
    <w:rsid w:val="00B447E6"/>
    <w:rsid w:val="00B57527"/>
    <w:rsid w:val="00B62882"/>
    <w:rsid w:val="00B65F8F"/>
    <w:rsid w:val="00B70C7B"/>
    <w:rsid w:val="00B716A6"/>
    <w:rsid w:val="00B75BBC"/>
    <w:rsid w:val="00B76831"/>
    <w:rsid w:val="00B76B61"/>
    <w:rsid w:val="00B77F67"/>
    <w:rsid w:val="00B80E15"/>
    <w:rsid w:val="00B81176"/>
    <w:rsid w:val="00B83E8B"/>
    <w:rsid w:val="00B913C7"/>
    <w:rsid w:val="00B95452"/>
    <w:rsid w:val="00B96B34"/>
    <w:rsid w:val="00BA517C"/>
    <w:rsid w:val="00BA5C4D"/>
    <w:rsid w:val="00BB333E"/>
    <w:rsid w:val="00BB416B"/>
    <w:rsid w:val="00BC0A3B"/>
    <w:rsid w:val="00BC3150"/>
    <w:rsid w:val="00BC450A"/>
    <w:rsid w:val="00BC4BEA"/>
    <w:rsid w:val="00BC5A3F"/>
    <w:rsid w:val="00BD05BC"/>
    <w:rsid w:val="00BD31C6"/>
    <w:rsid w:val="00BE533B"/>
    <w:rsid w:val="00BF56B6"/>
    <w:rsid w:val="00C06302"/>
    <w:rsid w:val="00C1432F"/>
    <w:rsid w:val="00C22343"/>
    <w:rsid w:val="00C223DB"/>
    <w:rsid w:val="00C22A1F"/>
    <w:rsid w:val="00C25C7E"/>
    <w:rsid w:val="00C26CCD"/>
    <w:rsid w:val="00C312EA"/>
    <w:rsid w:val="00C32942"/>
    <w:rsid w:val="00C3410D"/>
    <w:rsid w:val="00C375AF"/>
    <w:rsid w:val="00C401F8"/>
    <w:rsid w:val="00C41105"/>
    <w:rsid w:val="00C418BE"/>
    <w:rsid w:val="00C44C35"/>
    <w:rsid w:val="00C472D6"/>
    <w:rsid w:val="00C526D5"/>
    <w:rsid w:val="00C56D83"/>
    <w:rsid w:val="00C60822"/>
    <w:rsid w:val="00C60A55"/>
    <w:rsid w:val="00C61072"/>
    <w:rsid w:val="00C657F1"/>
    <w:rsid w:val="00C65A57"/>
    <w:rsid w:val="00C77F83"/>
    <w:rsid w:val="00C8172F"/>
    <w:rsid w:val="00C87C5C"/>
    <w:rsid w:val="00C905A7"/>
    <w:rsid w:val="00C96DB9"/>
    <w:rsid w:val="00CA1CE4"/>
    <w:rsid w:val="00CB034C"/>
    <w:rsid w:val="00CB4FDB"/>
    <w:rsid w:val="00CB51AD"/>
    <w:rsid w:val="00CC0446"/>
    <w:rsid w:val="00CC0640"/>
    <w:rsid w:val="00CC2F3E"/>
    <w:rsid w:val="00CC392D"/>
    <w:rsid w:val="00CC7673"/>
    <w:rsid w:val="00CF4F42"/>
    <w:rsid w:val="00D01E04"/>
    <w:rsid w:val="00D05765"/>
    <w:rsid w:val="00D1433D"/>
    <w:rsid w:val="00D17D13"/>
    <w:rsid w:val="00D20445"/>
    <w:rsid w:val="00D20E78"/>
    <w:rsid w:val="00D20F25"/>
    <w:rsid w:val="00D2724B"/>
    <w:rsid w:val="00D332C0"/>
    <w:rsid w:val="00D3397E"/>
    <w:rsid w:val="00D3403D"/>
    <w:rsid w:val="00D34050"/>
    <w:rsid w:val="00D363B6"/>
    <w:rsid w:val="00D37422"/>
    <w:rsid w:val="00D46E69"/>
    <w:rsid w:val="00D61422"/>
    <w:rsid w:val="00D65933"/>
    <w:rsid w:val="00D709E4"/>
    <w:rsid w:val="00D70DE7"/>
    <w:rsid w:val="00D7275C"/>
    <w:rsid w:val="00D74F80"/>
    <w:rsid w:val="00D761DC"/>
    <w:rsid w:val="00DB2463"/>
    <w:rsid w:val="00DC769E"/>
    <w:rsid w:val="00DC76EF"/>
    <w:rsid w:val="00DD0F3E"/>
    <w:rsid w:val="00DD2A0D"/>
    <w:rsid w:val="00DD5296"/>
    <w:rsid w:val="00DE122E"/>
    <w:rsid w:val="00DE3CBB"/>
    <w:rsid w:val="00DE56AD"/>
    <w:rsid w:val="00DE76CB"/>
    <w:rsid w:val="00DF0D26"/>
    <w:rsid w:val="00DF4200"/>
    <w:rsid w:val="00DF746E"/>
    <w:rsid w:val="00DF7D10"/>
    <w:rsid w:val="00E01BD2"/>
    <w:rsid w:val="00E01FF6"/>
    <w:rsid w:val="00E03059"/>
    <w:rsid w:val="00E054EA"/>
    <w:rsid w:val="00E0626A"/>
    <w:rsid w:val="00E103FB"/>
    <w:rsid w:val="00E150D2"/>
    <w:rsid w:val="00E1520C"/>
    <w:rsid w:val="00E35140"/>
    <w:rsid w:val="00E359AC"/>
    <w:rsid w:val="00E37A36"/>
    <w:rsid w:val="00E42AEE"/>
    <w:rsid w:val="00E43A5D"/>
    <w:rsid w:val="00E44BED"/>
    <w:rsid w:val="00E533D0"/>
    <w:rsid w:val="00E55071"/>
    <w:rsid w:val="00E60EE1"/>
    <w:rsid w:val="00E72F99"/>
    <w:rsid w:val="00E77DF6"/>
    <w:rsid w:val="00E8352B"/>
    <w:rsid w:val="00E938DE"/>
    <w:rsid w:val="00E950AD"/>
    <w:rsid w:val="00EA468F"/>
    <w:rsid w:val="00EA609C"/>
    <w:rsid w:val="00EA6A49"/>
    <w:rsid w:val="00EA792E"/>
    <w:rsid w:val="00EB04E2"/>
    <w:rsid w:val="00EB3300"/>
    <w:rsid w:val="00EC21DD"/>
    <w:rsid w:val="00EC347E"/>
    <w:rsid w:val="00EC4BF6"/>
    <w:rsid w:val="00EC6B14"/>
    <w:rsid w:val="00ED1050"/>
    <w:rsid w:val="00ED166D"/>
    <w:rsid w:val="00ED3A3C"/>
    <w:rsid w:val="00EE24D7"/>
    <w:rsid w:val="00EE2E7B"/>
    <w:rsid w:val="00EE4FD3"/>
    <w:rsid w:val="00EE7DD6"/>
    <w:rsid w:val="00EF5BB4"/>
    <w:rsid w:val="00F03C60"/>
    <w:rsid w:val="00F04D43"/>
    <w:rsid w:val="00F05CB1"/>
    <w:rsid w:val="00F06A25"/>
    <w:rsid w:val="00F1421B"/>
    <w:rsid w:val="00F201B8"/>
    <w:rsid w:val="00F33FD4"/>
    <w:rsid w:val="00F36709"/>
    <w:rsid w:val="00F4189C"/>
    <w:rsid w:val="00F44EAA"/>
    <w:rsid w:val="00F47FDD"/>
    <w:rsid w:val="00F51C17"/>
    <w:rsid w:val="00F5571A"/>
    <w:rsid w:val="00F6058B"/>
    <w:rsid w:val="00F65949"/>
    <w:rsid w:val="00F673A7"/>
    <w:rsid w:val="00F70594"/>
    <w:rsid w:val="00F740FF"/>
    <w:rsid w:val="00F754AB"/>
    <w:rsid w:val="00F76106"/>
    <w:rsid w:val="00F8147B"/>
    <w:rsid w:val="00F87EA6"/>
    <w:rsid w:val="00F903C3"/>
    <w:rsid w:val="00FB0A2F"/>
    <w:rsid w:val="00FB0ABC"/>
    <w:rsid w:val="00FB5217"/>
    <w:rsid w:val="00FC2064"/>
    <w:rsid w:val="00FC2209"/>
    <w:rsid w:val="00FC224A"/>
    <w:rsid w:val="00FC2A11"/>
    <w:rsid w:val="00FC4E03"/>
    <w:rsid w:val="00FD2E66"/>
    <w:rsid w:val="00FD4700"/>
    <w:rsid w:val="00FD595E"/>
    <w:rsid w:val="00FE4A54"/>
    <w:rsid w:val="00FE6729"/>
    <w:rsid w:val="00FE6F3D"/>
    <w:rsid w:val="00FF2914"/>
    <w:rsid w:val="00FF4A29"/>
    <w:rsid w:val="00FF61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E2A"/>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paragraph" w:styleId="Heading3">
    <w:name w:val="heading 3"/>
    <w:basedOn w:val="Normal"/>
    <w:next w:val="Normal"/>
    <w:link w:val="Heading3Char"/>
    <w:semiHidden/>
    <w:unhideWhenUsed/>
    <w:qFormat/>
    <w:rsid w:val="00EB04E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link w:val="CharChar"/>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uiPriority w:val="39"/>
    <w:rsid w:val="00832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910B58"/>
    <w:rPr>
      <w:sz w:val="16"/>
      <w:szCs w:val="16"/>
    </w:rPr>
  </w:style>
  <w:style w:type="paragraph" w:styleId="CommentText">
    <w:name w:val="annotation text"/>
    <w:basedOn w:val="Normal"/>
    <w:link w:val="CommentTextChar"/>
    <w:semiHidden/>
    <w:unhideWhenUsed/>
    <w:rsid w:val="00910B58"/>
    <w:rPr>
      <w:sz w:val="20"/>
      <w:szCs w:val="20"/>
    </w:rPr>
  </w:style>
  <w:style w:type="character" w:customStyle="1" w:styleId="CommentTextChar">
    <w:name w:val="Comment Text Char"/>
    <w:basedOn w:val="DefaultParagraphFont"/>
    <w:link w:val="CommentText"/>
    <w:semiHidden/>
    <w:rsid w:val="00910B58"/>
    <w:rPr>
      <w:lang w:val="en-US" w:eastAsia="en-US"/>
    </w:rPr>
  </w:style>
  <w:style w:type="paragraph" w:styleId="CommentSubject">
    <w:name w:val="annotation subject"/>
    <w:basedOn w:val="CommentText"/>
    <w:next w:val="CommentText"/>
    <w:link w:val="CommentSubjectChar"/>
    <w:semiHidden/>
    <w:unhideWhenUsed/>
    <w:rsid w:val="00910B58"/>
    <w:rPr>
      <w:b/>
      <w:bCs/>
    </w:rPr>
  </w:style>
  <w:style w:type="character" w:customStyle="1" w:styleId="CommentSubjectChar">
    <w:name w:val="Comment Subject Char"/>
    <w:basedOn w:val="CommentTextChar"/>
    <w:link w:val="CommentSubject"/>
    <w:semiHidden/>
    <w:rsid w:val="00910B58"/>
    <w:rPr>
      <w:b/>
      <w:bCs/>
      <w:lang w:val="en-US" w:eastAsia="en-US"/>
    </w:rPr>
  </w:style>
  <w:style w:type="paragraph" w:styleId="Revision">
    <w:name w:val="Revision"/>
    <w:hidden/>
    <w:uiPriority w:val="99"/>
    <w:semiHidden/>
    <w:rsid w:val="00910B58"/>
    <w:rPr>
      <w:sz w:val="24"/>
      <w:szCs w:val="24"/>
      <w:lang w:val="en-US" w:eastAsia="en-US"/>
    </w:rPr>
  </w:style>
  <w:style w:type="paragraph" w:styleId="NormalWeb">
    <w:name w:val="Normal (Web)"/>
    <w:basedOn w:val="Normal"/>
    <w:uiPriority w:val="99"/>
    <w:unhideWhenUsed/>
    <w:rsid w:val="000D5DF7"/>
    <w:pPr>
      <w:spacing w:before="100" w:beforeAutospacing="1" w:after="100" w:afterAutospacing="1"/>
    </w:pPr>
    <w:rPr>
      <w:lang w:val="en-ZA" w:eastAsia="en-ZA"/>
    </w:rPr>
  </w:style>
  <w:style w:type="paragraph" w:styleId="HTMLPreformatted">
    <w:name w:val="HTML Preformatted"/>
    <w:basedOn w:val="Normal"/>
    <w:link w:val="HTMLPreformattedChar"/>
    <w:uiPriority w:val="99"/>
    <w:semiHidden/>
    <w:unhideWhenUsed/>
    <w:rsid w:val="00C06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ZA" w:eastAsia="en-ZA"/>
    </w:rPr>
  </w:style>
  <w:style w:type="character" w:customStyle="1" w:styleId="HTMLPreformattedChar">
    <w:name w:val="HTML Preformatted Char"/>
    <w:basedOn w:val="DefaultParagraphFont"/>
    <w:link w:val="HTMLPreformatted"/>
    <w:uiPriority w:val="99"/>
    <w:semiHidden/>
    <w:rsid w:val="00C06302"/>
    <w:rPr>
      <w:rFonts w:ascii="Courier New" w:eastAsiaTheme="minorHAnsi" w:hAnsi="Courier New" w:cs="Courier New"/>
    </w:rPr>
  </w:style>
  <w:style w:type="paragraph" w:styleId="Header">
    <w:name w:val="header"/>
    <w:basedOn w:val="Normal"/>
    <w:link w:val="HeaderChar"/>
    <w:uiPriority w:val="99"/>
    <w:unhideWhenUsed/>
    <w:rsid w:val="00380E88"/>
    <w:pPr>
      <w:tabs>
        <w:tab w:val="center" w:pos="4513"/>
        <w:tab w:val="right" w:pos="9026"/>
      </w:tabs>
    </w:pPr>
  </w:style>
  <w:style w:type="character" w:customStyle="1" w:styleId="HeaderChar">
    <w:name w:val="Header Char"/>
    <w:basedOn w:val="DefaultParagraphFont"/>
    <w:link w:val="Header"/>
    <w:uiPriority w:val="99"/>
    <w:rsid w:val="00380E88"/>
    <w:rPr>
      <w:sz w:val="24"/>
      <w:szCs w:val="24"/>
      <w:lang w:val="en-US" w:eastAsia="en-US"/>
    </w:rPr>
  </w:style>
  <w:style w:type="paragraph" w:styleId="Footer">
    <w:name w:val="footer"/>
    <w:basedOn w:val="Normal"/>
    <w:link w:val="FooterChar"/>
    <w:unhideWhenUsed/>
    <w:rsid w:val="00380E88"/>
    <w:pPr>
      <w:tabs>
        <w:tab w:val="center" w:pos="4513"/>
        <w:tab w:val="right" w:pos="9026"/>
      </w:tabs>
    </w:pPr>
  </w:style>
  <w:style w:type="character" w:customStyle="1" w:styleId="FooterChar">
    <w:name w:val="Footer Char"/>
    <w:basedOn w:val="DefaultParagraphFont"/>
    <w:link w:val="Footer"/>
    <w:rsid w:val="00380E88"/>
    <w:rPr>
      <w:sz w:val="24"/>
      <w:szCs w:val="24"/>
      <w:lang w:val="en-US" w:eastAsia="en-US"/>
    </w:rPr>
  </w:style>
  <w:style w:type="character" w:customStyle="1" w:styleId="Heading3Char">
    <w:name w:val="Heading 3 Char"/>
    <w:basedOn w:val="DefaultParagraphFont"/>
    <w:link w:val="Heading3"/>
    <w:semiHidden/>
    <w:rsid w:val="00EB04E2"/>
    <w:rPr>
      <w:rFonts w:asciiTheme="majorHAnsi" w:eastAsiaTheme="majorEastAsia" w:hAnsiTheme="majorHAnsi" w:cstheme="majorBidi"/>
      <w:color w:val="243F60" w:themeColor="accent1" w:themeShade="7F"/>
      <w:sz w:val="24"/>
      <w:szCs w:val="24"/>
      <w:lang w:val="en-US" w:eastAsia="en-US"/>
    </w:rPr>
  </w:style>
  <w:style w:type="character" w:styleId="Hyperlink">
    <w:name w:val="Hyperlink"/>
    <w:basedOn w:val="DefaultParagraphFont"/>
    <w:uiPriority w:val="99"/>
    <w:semiHidden/>
    <w:unhideWhenUsed/>
    <w:rsid w:val="00FF4A29"/>
    <w:rPr>
      <w:color w:val="0000FF" w:themeColor="hyperlink"/>
      <w:u w:val="single"/>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0147EE"/>
    <w:rPr>
      <w:sz w:val="24"/>
      <w:szCs w:val="24"/>
      <w:lang w:val="en-US" w:eastAsia="en-US"/>
    </w:rPr>
  </w:style>
  <w:style w:type="character" w:customStyle="1" w:styleId="CharChar">
    <w:name w:val="Char Char"/>
    <w:basedOn w:val="DefaultParagraphFont"/>
    <w:link w:val="Char"/>
    <w:rsid w:val="00EA609C"/>
    <w:rPr>
      <w:rFonts w:ascii="Arial" w:hAnsi="Arial" w:cs="Arial"/>
      <w:sz w:val="22"/>
      <w:szCs w:val="22"/>
      <w:lang w:val="en-AU" w:eastAsia="en-US"/>
    </w:rPr>
  </w:style>
</w:styles>
</file>

<file path=word/webSettings.xml><?xml version="1.0" encoding="utf-8"?>
<w:webSettings xmlns:r="http://schemas.openxmlformats.org/officeDocument/2006/relationships" xmlns:w="http://schemas.openxmlformats.org/wordprocessingml/2006/main">
  <w:divs>
    <w:div w:id="30230269">
      <w:bodyDiv w:val="1"/>
      <w:marLeft w:val="0"/>
      <w:marRight w:val="0"/>
      <w:marTop w:val="0"/>
      <w:marBottom w:val="0"/>
      <w:divBdr>
        <w:top w:val="none" w:sz="0" w:space="0" w:color="auto"/>
        <w:left w:val="none" w:sz="0" w:space="0" w:color="auto"/>
        <w:bottom w:val="none" w:sz="0" w:space="0" w:color="auto"/>
        <w:right w:val="none" w:sz="0" w:space="0" w:color="auto"/>
      </w:divBdr>
    </w:div>
    <w:div w:id="57368176">
      <w:bodyDiv w:val="1"/>
      <w:marLeft w:val="0"/>
      <w:marRight w:val="0"/>
      <w:marTop w:val="0"/>
      <w:marBottom w:val="0"/>
      <w:divBdr>
        <w:top w:val="none" w:sz="0" w:space="0" w:color="auto"/>
        <w:left w:val="none" w:sz="0" w:space="0" w:color="auto"/>
        <w:bottom w:val="none" w:sz="0" w:space="0" w:color="auto"/>
        <w:right w:val="none" w:sz="0" w:space="0" w:color="auto"/>
      </w:divBdr>
    </w:div>
    <w:div w:id="90903929">
      <w:bodyDiv w:val="1"/>
      <w:marLeft w:val="0"/>
      <w:marRight w:val="0"/>
      <w:marTop w:val="0"/>
      <w:marBottom w:val="0"/>
      <w:divBdr>
        <w:top w:val="none" w:sz="0" w:space="0" w:color="auto"/>
        <w:left w:val="none" w:sz="0" w:space="0" w:color="auto"/>
        <w:bottom w:val="none" w:sz="0" w:space="0" w:color="auto"/>
        <w:right w:val="none" w:sz="0" w:space="0" w:color="auto"/>
      </w:divBdr>
    </w:div>
    <w:div w:id="95902987">
      <w:bodyDiv w:val="1"/>
      <w:marLeft w:val="0"/>
      <w:marRight w:val="0"/>
      <w:marTop w:val="0"/>
      <w:marBottom w:val="0"/>
      <w:divBdr>
        <w:top w:val="none" w:sz="0" w:space="0" w:color="auto"/>
        <w:left w:val="none" w:sz="0" w:space="0" w:color="auto"/>
        <w:bottom w:val="none" w:sz="0" w:space="0" w:color="auto"/>
        <w:right w:val="none" w:sz="0" w:space="0" w:color="auto"/>
      </w:divBdr>
    </w:div>
    <w:div w:id="342244687">
      <w:bodyDiv w:val="1"/>
      <w:marLeft w:val="0"/>
      <w:marRight w:val="0"/>
      <w:marTop w:val="0"/>
      <w:marBottom w:val="0"/>
      <w:divBdr>
        <w:top w:val="none" w:sz="0" w:space="0" w:color="auto"/>
        <w:left w:val="none" w:sz="0" w:space="0" w:color="auto"/>
        <w:bottom w:val="none" w:sz="0" w:space="0" w:color="auto"/>
        <w:right w:val="none" w:sz="0" w:space="0" w:color="auto"/>
      </w:divBdr>
    </w:div>
    <w:div w:id="360058902">
      <w:bodyDiv w:val="1"/>
      <w:marLeft w:val="0"/>
      <w:marRight w:val="0"/>
      <w:marTop w:val="0"/>
      <w:marBottom w:val="0"/>
      <w:divBdr>
        <w:top w:val="none" w:sz="0" w:space="0" w:color="auto"/>
        <w:left w:val="none" w:sz="0" w:space="0" w:color="auto"/>
        <w:bottom w:val="none" w:sz="0" w:space="0" w:color="auto"/>
        <w:right w:val="none" w:sz="0" w:space="0" w:color="auto"/>
      </w:divBdr>
    </w:div>
    <w:div w:id="411197376">
      <w:bodyDiv w:val="1"/>
      <w:marLeft w:val="0"/>
      <w:marRight w:val="0"/>
      <w:marTop w:val="0"/>
      <w:marBottom w:val="0"/>
      <w:divBdr>
        <w:top w:val="none" w:sz="0" w:space="0" w:color="auto"/>
        <w:left w:val="none" w:sz="0" w:space="0" w:color="auto"/>
        <w:bottom w:val="none" w:sz="0" w:space="0" w:color="auto"/>
        <w:right w:val="none" w:sz="0" w:space="0" w:color="auto"/>
      </w:divBdr>
    </w:div>
    <w:div w:id="415251829">
      <w:bodyDiv w:val="1"/>
      <w:marLeft w:val="0"/>
      <w:marRight w:val="0"/>
      <w:marTop w:val="0"/>
      <w:marBottom w:val="0"/>
      <w:divBdr>
        <w:top w:val="none" w:sz="0" w:space="0" w:color="auto"/>
        <w:left w:val="none" w:sz="0" w:space="0" w:color="auto"/>
        <w:bottom w:val="none" w:sz="0" w:space="0" w:color="auto"/>
        <w:right w:val="none" w:sz="0" w:space="0" w:color="auto"/>
      </w:divBdr>
    </w:div>
    <w:div w:id="528571405">
      <w:bodyDiv w:val="1"/>
      <w:marLeft w:val="0"/>
      <w:marRight w:val="0"/>
      <w:marTop w:val="0"/>
      <w:marBottom w:val="0"/>
      <w:divBdr>
        <w:top w:val="none" w:sz="0" w:space="0" w:color="auto"/>
        <w:left w:val="none" w:sz="0" w:space="0" w:color="auto"/>
        <w:bottom w:val="none" w:sz="0" w:space="0" w:color="auto"/>
        <w:right w:val="none" w:sz="0" w:space="0" w:color="auto"/>
      </w:divBdr>
    </w:div>
    <w:div w:id="529413525">
      <w:bodyDiv w:val="1"/>
      <w:marLeft w:val="0"/>
      <w:marRight w:val="0"/>
      <w:marTop w:val="0"/>
      <w:marBottom w:val="0"/>
      <w:divBdr>
        <w:top w:val="none" w:sz="0" w:space="0" w:color="auto"/>
        <w:left w:val="none" w:sz="0" w:space="0" w:color="auto"/>
        <w:bottom w:val="none" w:sz="0" w:space="0" w:color="auto"/>
        <w:right w:val="none" w:sz="0" w:space="0" w:color="auto"/>
      </w:divBdr>
    </w:div>
    <w:div w:id="647785506">
      <w:bodyDiv w:val="1"/>
      <w:marLeft w:val="0"/>
      <w:marRight w:val="0"/>
      <w:marTop w:val="0"/>
      <w:marBottom w:val="0"/>
      <w:divBdr>
        <w:top w:val="none" w:sz="0" w:space="0" w:color="auto"/>
        <w:left w:val="none" w:sz="0" w:space="0" w:color="auto"/>
        <w:bottom w:val="none" w:sz="0" w:space="0" w:color="auto"/>
        <w:right w:val="none" w:sz="0" w:space="0" w:color="auto"/>
      </w:divBdr>
    </w:div>
    <w:div w:id="661548406">
      <w:bodyDiv w:val="1"/>
      <w:marLeft w:val="0"/>
      <w:marRight w:val="0"/>
      <w:marTop w:val="0"/>
      <w:marBottom w:val="0"/>
      <w:divBdr>
        <w:top w:val="none" w:sz="0" w:space="0" w:color="auto"/>
        <w:left w:val="none" w:sz="0" w:space="0" w:color="auto"/>
        <w:bottom w:val="none" w:sz="0" w:space="0" w:color="auto"/>
        <w:right w:val="none" w:sz="0" w:space="0" w:color="auto"/>
      </w:divBdr>
    </w:div>
    <w:div w:id="723408540">
      <w:bodyDiv w:val="1"/>
      <w:marLeft w:val="0"/>
      <w:marRight w:val="0"/>
      <w:marTop w:val="0"/>
      <w:marBottom w:val="0"/>
      <w:divBdr>
        <w:top w:val="none" w:sz="0" w:space="0" w:color="auto"/>
        <w:left w:val="none" w:sz="0" w:space="0" w:color="auto"/>
        <w:bottom w:val="none" w:sz="0" w:space="0" w:color="auto"/>
        <w:right w:val="none" w:sz="0" w:space="0" w:color="auto"/>
      </w:divBdr>
    </w:div>
    <w:div w:id="766656492">
      <w:bodyDiv w:val="1"/>
      <w:marLeft w:val="0"/>
      <w:marRight w:val="0"/>
      <w:marTop w:val="0"/>
      <w:marBottom w:val="0"/>
      <w:divBdr>
        <w:top w:val="none" w:sz="0" w:space="0" w:color="auto"/>
        <w:left w:val="none" w:sz="0" w:space="0" w:color="auto"/>
        <w:bottom w:val="none" w:sz="0" w:space="0" w:color="auto"/>
        <w:right w:val="none" w:sz="0" w:space="0" w:color="auto"/>
      </w:divBdr>
    </w:div>
    <w:div w:id="783580017">
      <w:bodyDiv w:val="1"/>
      <w:marLeft w:val="0"/>
      <w:marRight w:val="0"/>
      <w:marTop w:val="0"/>
      <w:marBottom w:val="0"/>
      <w:divBdr>
        <w:top w:val="none" w:sz="0" w:space="0" w:color="auto"/>
        <w:left w:val="none" w:sz="0" w:space="0" w:color="auto"/>
        <w:bottom w:val="none" w:sz="0" w:space="0" w:color="auto"/>
        <w:right w:val="none" w:sz="0" w:space="0" w:color="auto"/>
      </w:divBdr>
    </w:div>
    <w:div w:id="799153438">
      <w:bodyDiv w:val="1"/>
      <w:marLeft w:val="0"/>
      <w:marRight w:val="0"/>
      <w:marTop w:val="0"/>
      <w:marBottom w:val="0"/>
      <w:divBdr>
        <w:top w:val="none" w:sz="0" w:space="0" w:color="auto"/>
        <w:left w:val="none" w:sz="0" w:space="0" w:color="auto"/>
        <w:bottom w:val="none" w:sz="0" w:space="0" w:color="auto"/>
        <w:right w:val="none" w:sz="0" w:space="0" w:color="auto"/>
      </w:divBdr>
    </w:div>
    <w:div w:id="881946577">
      <w:bodyDiv w:val="1"/>
      <w:marLeft w:val="0"/>
      <w:marRight w:val="0"/>
      <w:marTop w:val="0"/>
      <w:marBottom w:val="0"/>
      <w:divBdr>
        <w:top w:val="none" w:sz="0" w:space="0" w:color="auto"/>
        <w:left w:val="none" w:sz="0" w:space="0" w:color="auto"/>
        <w:bottom w:val="none" w:sz="0" w:space="0" w:color="auto"/>
        <w:right w:val="none" w:sz="0" w:space="0" w:color="auto"/>
      </w:divBdr>
    </w:div>
    <w:div w:id="884292429">
      <w:bodyDiv w:val="1"/>
      <w:marLeft w:val="0"/>
      <w:marRight w:val="0"/>
      <w:marTop w:val="0"/>
      <w:marBottom w:val="0"/>
      <w:divBdr>
        <w:top w:val="none" w:sz="0" w:space="0" w:color="auto"/>
        <w:left w:val="none" w:sz="0" w:space="0" w:color="auto"/>
        <w:bottom w:val="none" w:sz="0" w:space="0" w:color="auto"/>
        <w:right w:val="none" w:sz="0" w:space="0" w:color="auto"/>
      </w:divBdr>
    </w:div>
    <w:div w:id="907761087">
      <w:bodyDiv w:val="1"/>
      <w:marLeft w:val="0"/>
      <w:marRight w:val="0"/>
      <w:marTop w:val="0"/>
      <w:marBottom w:val="0"/>
      <w:divBdr>
        <w:top w:val="none" w:sz="0" w:space="0" w:color="auto"/>
        <w:left w:val="none" w:sz="0" w:space="0" w:color="auto"/>
        <w:bottom w:val="none" w:sz="0" w:space="0" w:color="auto"/>
        <w:right w:val="none" w:sz="0" w:space="0" w:color="auto"/>
      </w:divBdr>
    </w:div>
    <w:div w:id="927883807">
      <w:bodyDiv w:val="1"/>
      <w:marLeft w:val="0"/>
      <w:marRight w:val="0"/>
      <w:marTop w:val="0"/>
      <w:marBottom w:val="0"/>
      <w:divBdr>
        <w:top w:val="none" w:sz="0" w:space="0" w:color="auto"/>
        <w:left w:val="none" w:sz="0" w:space="0" w:color="auto"/>
        <w:bottom w:val="none" w:sz="0" w:space="0" w:color="auto"/>
        <w:right w:val="none" w:sz="0" w:space="0" w:color="auto"/>
      </w:divBdr>
    </w:div>
    <w:div w:id="954215825">
      <w:bodyDiv w:val="1"/>
      <w:marLeft w:val="0"/>
      <w:marRight w:val="0"/>
      <w:marTop w:val="0"/>
      <w:marBottom w:val="0"/>
      <w:divBdr>
        <w:top w:val="none" w:sz="0" w:space="0" w:color="auto"/>
        <w:left w:val="none" w:sz="0" w:space="0" w:color="auto"/>
        <w:bottom w:val="none" w:sz="0" w:space="0" w:color="auto"/>
        <w:right w:val="none" w:sz="0" w:space="0" w:color="auto"/>
      </w:divBdr>
    </w:div>
    <w:div w:id="971667369">
      <w:bodyDiv w:val="1"/>
      <w:marLeft w:val="0"/>
      <w:marRight w:val="0"/>
      <w:marTop w:val="0"/>
      <w:marBottom w:val="0"/>
      <w:divBdr>
        <w:top w:val="none" w:sz="0" w:space="0" w:color="auto"/>
        <w:left w:val="none" w:sz="0" w:space="0" w:color="auto"/>
        <w:bottom w:val="none" w:sz="0" w:space="0" w:color="auto"/>
        <w:right w:val="none" w:sz="0" w:space="0" w:color="auto"/>
      </w:divBdr>
    </w:div>
    <w:div w:id="1082413360">
      <w:bodyDiv w:val="1"/>
      <w:marLeft w:val="0"/>
      <w:marRight w:val="0"/>
      <w:marTop w:val="0"/>
      <w:marBottom w:val="0"/>
      <w:divBdr>
        <w:top w:val="none" w:sz="0" w:space="0" w:color="auto"/>
        <w:left w:val="none" w:sz="0" w:space="0" w:color="auto"/>
        <w:bottom w:val="none" w:sz="0" w:space="0" w:color="auto"/>
        <w:right w:val="none" w:sz="0" w:space="0" w:color="auto"/>
      </w:divBdr>
    </w:div>
    <w:div w:id="1102797304">
      <w:bodyDiv w:val="1"/>
      <w:marLeft w:val="0"/>
      <w:marRight w:val="0"/>
      <w:marTop w:val="0"/>
      <w:marBottom w:val="0"/>
      <w:divBdr>
        <w:top w:val="none" w:sz="0" w:space="0" w:color="auto"/>
        <w:left w:val="none" w:sz="0" w:space="0" w:color="auto"/>
        <w:bottom w:val="none" w:sz="0" w:space="0" w:color="auto"/>
        <w:right w:val="none" w:sz="0" w:space="0" w:color="auto"/>
      </w:divBdr>
    </w:div>
    <w:div w:id="1146970958">
      <w:bodyDiv w:val="1"/>
      <w:marLeft w:val="0"/>
      <w:marRight w:val="0"/>
      <w:marTop w:val="0"/>
      <w:marBottom w:val="0"/>
      <w:divBdr>
        <w:top w:val="none" w:sz="0" w:space="0" w:color="auto"/>
        <w:left w:val="none" w:sz="0" w:space="0" w:color="auto"/>
        <w:bottom w:val="none" w:sz="0" w:space="0" w:color="auto"/>
        <w:right w:val="none" w:sz="0" w:space="0" w:color="auto"/>
      </w:divBdr>
    </w:div>
    <w:div w:id="1233659259">
      <w:bodyDiv w:val="1"/>
      <w:marLeft w:val="0"/>
      <w:marRight w:val="0"/>
      <w:marTop w:val="0"/>
      <w:marBottom w:val="0"/>
      <w:divBdr>
        <w:top w:val="none" w:sz="0" w:space="0" w:color="auto"/>
        <w:left w:val="none" w:sz="0" w:space="0" w:color="auto"/>
        <w:bottom w:val="none" w:sz="0" w:space="0" w:color="auto"/>
        <w:right w:val="none" w:sz="0" w:space="0" w:color="auto"/>
      </w:divBdr>
    </w:div>
    <w:div w:id="1265042615">
      <w:bodyDiv w:val="1"/>
      <w:marLeft w:val="0"/>
      <w:marRight w:val="0"/>
      <w:marTop w:val="0"/>
      <w:marBottom w:val="0"/>
      <w:divBdr>
        <w:top w:val="none" w:sz="0" w:space="0" w:color="auto"/>
        <w:left w:val="none" w:sz="0" w:space="0" w:color="auto"/>
        <w:bottom w:val="none" w:sz="0" w:space="0" w:color="auto"/>
        <w:right w:val="none" w:sz="0" w:space="0" w:color="auto"/>
      </w:divBdr>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344747933">
      <w:bodyDiv w:val="1"/>
      <w:marLeft w:val="0"/>
      <w:marRight w:val="0"/>
      <w:marTop w:val="0"/>
      <w:marBottom w:val="0"/>
      <w:divBdr>
        <w:top w:val="none" w:sz="0" w:space="0" w:color="auto"/>
        <w:left w:val="none" w:sz="0" w:space="0" w:color="auto"/>
        <w:bottom w:val="none" w:sz="0" w:space="0" w:color="auto"/>
        <w:right w:val="none" w:sz="0" w:space="0" w:color="auto"/>
      </w:divBdr>
    </w:div>
    <w:div w:id="1530944692">
      <w:bodyDiv w:val="1"/>
      <w:marLeft w:val="0"/>
      <w:marRight w:val="0"/>
      <w:marTop w:val="0"/>
      <w:marBottom w:val="0"/>
      <w:divBdr>
        <w:top w:val="none" w:sz="0" w:space="0" w:color="auto"/>
        <w:left w:val="none" w:sz="0" w:space="0" w:color="auto"/>
        <w:bottom w:val="none" w:sz="0" w:space="0" w:color="auto"/>
        <w:right w:val="none" w:sz="0" w:space="0" w:color="auto"/>
      </w:divBdr>
    </w:div>
    <w:div w:id="1535577050">
      <w:bodyDiv w:val="1"/>
      <w:marLeft w:val="0"/>
      <w:marRight w:val="0"/>
      <w:marTop w:val="0"/>
      <w:marBottom w:val="0"/>
      <w:divBdr>
        <w:top w:val="none" w:sz="0" w:space="0" w:color="auto"/>
        <w:left w:val="none" w:sz="0" w:space="0" w:color="auto"/>
        <w:bottom w:val="none" w:sz="0" w:space="0" w:color="auto"/>
        <w:right w:val="none" w:sz="0" w:space="0" w:color="auto"/>
      </w:divBdr>
    </w:div>
    <w:div w:id="1565485601">
      <w:bodyDiv w:val="1"/>
      <w:marLeft w:val="0"/>
      <w:marRight w:val="0"/>
      <w:marTop w:val="0"/>
      <w:marBottom w:val="0"/>
      <w:divBdr>
        <w:top w:val="none" w:sz="0" w:space="0" w:color="auto"/>
        <w:left w:val="none" w:sz="0" w:space="0" w:color="auto"/>
        <w:bottom w:val="none" w:sz="0" w:space="0" w:color="auto"/>
        <w:right w:val="none" w:sz="0" w:space="0" w:color="auto"/>
      </w:divBdr>
    </w:div>
    <w:div w:id="1668629711">
      <w:bodyDiv w:val="1"/>
      <w:marLeft w:val="0"/>
      <w:marRight w:val="0"/>
      <w:marTop w:val="0"/>
      <w:marBottom w:val="0"/>
      <w:divBdr>
        <w:top w:val="none" w:sz="0" w:space="0" w:color="auto"/>
        <w:left w:val="none" w:sz="0" w:space="0" w:color="auto"/>
        <w:bottom w:val="none" w:sz="0" w:space="0" w:color="auto"/>
        <w:right w:val="none" w:sz="0" w:space="0" w:color="auto"/>
      </w:divBdr>
    </w:div>
    <w:div w:id="1725912237">
      <w:bodyDiv w:val="1"/>
      <w:marLeft w:val="0"/>
      <w:marRight w:val="0"/>
      <w:marTop w:val="0"/>
      <w:marBottom w:val="0"/>
      <w:divBdr>
        <w:top w:val="none" w:sz="0" w:space="0" w:color="auto"/>
        <w:left w:val="none" w:sz="0" w:space="0" w:color="auto"/>
        <w:bottom w:val="none" w:sz="0" w:space="0" w:color="auto"/>
        <w:right w:val="none" w:sz="0" w:space="0" w:color="auto"/>
      </w:divBdr>
    </w:div>
    <w:div w:id="1778914364">
      <w:bodyDiv w:val="1"/>
      <w:marLeft w:val="0"/>
      <w:marRight w:val="0"/>
      <w:marTop w:val="0"/>
      <w:marBottom w:val="0"/>
      <w:divBdr>
        <w:top w:val="none" w:sz="0" w:space="0" w:color="auto"/>
        <w:left w:val="none" w:sz="0" w:space="0" w:color="auto"/>
        <w:bottom w:val="none" w:sz="0" w:space="0" w:color="auto"/>
        <w:right w:val="none" w:sz="0" w:space="0" w:color="auto"/>
      </w:divBdr>
    </w:div>
    <w:div w:id="1890846092">
      <w:bodyDiv w:val="1"/>
      <w:marLeft w:val="0"/>
      <w:marRight w:val="0"/>
      <w:marTop w:val="0"/>
      <w:marBottom w:val="0"/>
      <w:divBdr>
        <w:top w:val="none" w:sz="0" w:space="0" w:color="auto"/>
        <w:left w:val="none" w:sz="0" w:space="0" w:color="auto"/>
        <w:bottom w:val="none" w:sz="0" w:space="0" w:color="auto"/>
        <w:right w:val="none" w:sz="0" w:space="0" w:color="auto"/>
      </w:divBdr>
    </w:div>
    <w:div w:id="1895312929">
      <w:bodyDiv w:val="1"/>
      <w:marLeft w:val="0"/>
      <w:marRight w:val="0"/>
      <w:marTop w:val="0"/>
      <w:marBottom w:val="0"/>
      <w:divBdr>
        <w:top w:val="none" w:sz="0" w:space="0" w:color="auto"/>
        <w:left w:val="none" w:sz="0" w:space="0" w:color="auto"/>
        <w:bottom w:val="none" w:sz="0" w:space="0" w:color="auto"/>
        <w:right w:val="none" w:sz="0" w:space="0" w:color="auto"/>
      </w:divBdr>
    </w:div>
    <w:div w:id="1945452196">
      <w:bodyDiv w:val="1"/>
      <w:marLeft w:val="0"/>
      <w:marRight w:val="0"/>
      <w:marTop w:val="0"/>
      <w:marBottom w:val="0"/>
      <w:divBdr>
        <w:top w:val="none" w:sz="0" w:space="0" w:color="auto"/>
        <w:left w:val="none" w:sz="0" w:space="0" w:color="auto"/>
        <w:bottom w:val="none" w:sz="0" w:space="0" w:color="auto"/>
        <w:right w:val="none" w:sz="0" w:space="0" w:color="auto"/>
      </w:divBdr>
    </w:div>
    <w:div w:id="1964265663">
      <w:bodyDiv w:val="1"/>
      <w:marLeft w:val="0"/>
      <w:marRight w:val="0"/>
      <w:marTop w:val="0"/>
      <w:marBottom w:val="0"/>
      <w:divBdr>
        <w:top w:val="none" w:sz="0" w:space="0" w:color="auto"/>
        <w:left w:val="none" w:sz="0" w:space="0" w:color="auto"/>
        <w:bottom w:val="none" w:sz="0" w:space="0" w:color="auto"/>
        <w:right w:val="none" w:sz="0" w:space="0" w:color="auto"/>
      </w:divBdr>
    </w:div>
    <w:div w:id="2035423337">
      <w:bodyDiv w:val="1"/>
      <w:marLeft w:val="0"/>
      <w:marRight w:val="0"/>
      <w:marTop w:val="0"/>
      <w:marBottom w:val="0"/>
      <w:divBdr>
        <w:top w:val="none" w:sz="0" w:space="0" w:color="auto"/>
        <w:left w:val="none" w:sz="0" w:space="0" w:color="auto"/>
        <w:bottom w:val="none" w:sz="0" w:space="0" w:color="auto"/>
        <w:right w:val="none" w:sz="0" w:space="0" w:color="auto"/>
      </w:divBdr>
    </w:div>
    <w:div w:id="2057928222">
      <w:bodyDiv w:val="1"/>
      <w:marLeft w:val="0"/>
      <w:marRight w:val="0"/>
      <w:marTop w:val="0"/>
      <w:marBottom w:val="0"/>
      <w:divBdr>
        <w:top w:val="none" w:sz="0" w:space="0" w:color="auto"/>
        <w:left w:val="none" w:sz="0" w:space="0" w:color="auto"/>
        <w:bottom w:val="none" w:sz="0" w:space="0" w:color="auto"/>
        <w:right w:val="none" w:sz="0" w:space="0" w:color="auto"/>
      </w:divBdr>
    </w:div>
    <w:div w:id="212252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82F6C-3B6D-43D5-A5CE-2AC1AB8B6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1103</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7377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USER</cp:lastModifiedBy>
  <cp:revision>2</cp:revision>
  <cp:lastPrinted>2019-03-27T11:32:00Z</cp:lastPrinted>
  <dcterms:created xsi:type="dcterms:W3CDTF">2021-06-11T14:11:00Z</dcterms:created>
  <dcterms:modified xsi:type="dcterms:W3CDTF">2021-06-11T14:11:00Z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iteId">
    <vt:lpwstr>1a45348f-02b4-4f9a-a7a8-7786f6dd3245</vt:lpwstr>
  </property>
  <property fmtid="{D5CDD505-2E9C-101B-9397-08002B2CF9AE}" pid="4" name="MSIP_Label_93c4247e-447d-4732-af29-2e529a4288f1_Owner">
    <vt:lpwstr>Mampho.Modise@Treasury.gov.za</vt:lpwstr>
  </property>
  <property fmtid="{D5CDD505-2E9C-101B-9397-08002B2CF9AE}" pid="5" name="MSIP_Label_93c4247e-447d-4732-af29-2e529a4288f1_SetDate">
    <vt:lpwstr>2020-10-15T13:32:06.4221435Z</vt:lpwstr>
  </property>
  <property fmtid="{D5CDD505-2E9C-101B-9397-08002B2CF9AE}" pid="6" name="MSIP_Label_93c4247e-447d-4732-af29-2e529a4288f1_Name">
    <vt:lpwstr>Personal</vt:lpwstr>
  </property>
  <property fmtid="{D5CDD505-2E9C-101B-9397-08002B2CF9AE}" pid="7" name="MSIP_Label_93c4247e-447d-4732-af29-2e529a4288f1_Application">
    <vt:lpwstr>Microsoft Azure Information Protection</vt:lpwstr>
  </property>
  <property fmtid="{D5CDD505-2E9C-101B-9397-08002B2CF9AE}" pid="8" name="MSIP_Label_93c4247e-447d-4732-af29-2e529a4288f1_Extended_MSFT_Method">
    <vt:lpwstr>Automatic</vt:lpwstr>
  </property>
  <property fmtid="{D5CDD505-2E9C-101B-9397-08002B2CF9AE}" pid="9" name="Sensitivity">
    <vt:lpwstr>Personal</vt:lpwstr>
  </property>
</Properties>
</file>