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18" w:rsidRPr="00CA3593" w:rsidRDefault="00F15E18" w:rsidP="00F15E18">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Pr>
          <w:rFonts w:cs="Arial"/>
          <w:sz w:val="22"/>
          <w:szCs w:val="22"/>
          <w:u w:val="none"/>
          <w:lang w:val="en-ZA"/>
        </w:rPr>
        <w:t xml:space="preserve">Assembly </w:t>
      </w:r>
    </w:p>
    <w:p w:rsidR="00F15E18" w:rsidRDefault="00F15E18" w:rsidP="00F15E18">
      <w:pPr>
        <w:pStyle w:val="Heading6"/>
        <w:spacing w:before="240"/>
        <w:rPr>
          <w:rFonts w:cs="Arial"/>
          <w:sz w:val="22"/>
          <w:szCs w:val="22"/>
          <w:u w:val="none"/>
          <w:lang w:val="en-ZA"/>
        </w:rPr>
      </w:pPr>
      <w:r w:rsidRPr="00CA3593">
        <w:rPr>
          <w:rFonts w:cs="Arial"/>
          <w:sz w:val="22"/>
          <w:szCs w:val="22"/>
          <w:u w:val="none"/>
          <w:lang w:val="en-ZA"/>
        </w:rPr>
        <w:t xml:space="preserve">Question Number: </w:t>
      </w:r>
      <w:r>
        <w:rPr>
          <w:rFonts w:cs="Arial"/>
          <w:sz w:val="22"/>
          <w:szCs w:val="22"/>
          <w:u w:val="none"/>
          <w:lang w:val="en-ZA"/>
        </w:rPr>
        <w:t>1429</w:t>
      </w:r>
    </w:p>
    <w:p w:rsidR="00F15E18" w:rsidRDefault="00F15E18" w:rsidP="00F15E18">
      <w:pPr>
        <w:rPr>
          <w:rFonts w:ascii="Arial" w:hAnsi="Arial" w:cs="Arial"/>
          <w:b/>
          <w:lang w:eastAsia="x-none"/>
        </w:rPr>
      </w:pPr>
    </w:p>
    <w:p w:rsidR="00F15E18" w:rsidRPr="00DA0998" w:rsidRDefault="00F15E18" w:rsidP="00F15E18">
      <w:pPr>
        <w:spacing w:before="100" w:beforeAutospacing="1" w:after="100" w:afterAutospacing="1" w:line="240" w:lineRule="auto"/>
        <w:ind w:left="816" w:hanging="816"/>
        <w:rPr>
          <w:rFonts w:ascii="Arial" w:hAnsi="Arial" w:cs="Arial"/>
        </w:rPr>
      </w:pPr>
      <w:r w:rsidRPr="00DA0998">
        <w:rPr>
          <w:rFonts w:ascii="Arial" w:hAnsi="Arial" w:cs="Arial"/>
          <w:b/>
        </w:rPr>
        <w:t>1429.</w:t>
      </w:r>
      <w:r w:rsidRPr="00DA0998">
        <w:rPr>
          <w:rFonts w:ascii="Arial" w:hAnsi="Arial" w:cs="Arial"/>
          <w:b/>
        </w:rPr>
        <w:tab/>
        <w:t xml:space="preserve">Mr C H </w:t>
      </w:r>
      <w:proofErr w:type="spellStart"/>
      <w:r w:rsidRPr="00DA0998">
        <w:rPr>
          <w:rFonts w:ascii="Arial" w:hAnsi="Arial" w:cs="Arial"/>
          <w:b/>
        </w:rPr>
        <w:t>H</w:t>
      </w:r>
      <w:proofErr w:type="spellEnd"/>
      <w:r w:rsidRPr="00DA0998">
        <w:rPr>
          <w:rFonts w:ascii="Arial" w:hAnsi="Arial" w:cs="Arial"/>
          <w:b/>
        </w:rPr>
        <w:t xml:space="preserve"> </w:t>
      </w:r>
      <w:proofErr w:type="spellStart"/>
      <w:r w:rsidRPr="00DA0998">
        <w:rPr>
          <w:rFonts w:ascii="Arial" w:hAnsi="Arial" w:cs="Arial"/>
          <w:b/>
        </w:rPr>
        <w:t>Hunsinger</w:t>
      </w:r>
      <w:proofErr w:type="spellEnd"/>
      <w:r w:rsidRPr="00DA0998">
        <w:rPr>
          <w:rFonts w:ascii="Arial" w:hAnsi="Arial" w:cs="Arial"/>
          <w:b/>
        </w:rPr>
        <w:t xml:space="preserve"> (DA) to ask the Minister of Transport:</w:t>
      </w:r>
    </w:p>
    <w:p w:rsidR="00F15E18" w:rsidRPr="00DA0998" w:rsidRDefault="00F15E18" w:rsidP="00DC1FDD">
      <w:pPr>
        <w:spacing w:before="100" w:beforeAutospacing="1" w:after="100" w:afterAutospacing="1" w:line="240" w:lineRule="auto"/>
        <w:jc w:val="both"/>
        <w:outlineLvl w:val="0"/>
        <w:rPr>
          <w:rFonts w:ascii="Arial" w:hAnsi="Arial" w:cs="Arial"/>
        </w:rPr>
      </w:pPr>
      <w:r w:rsidRPr="00DA0998">
        <w:rPr>
          <w:rFonts w:ascii="Arial" w:hAnsi="Arial" w:cs="Arial"/>
        </w:rPr>
        <w:t xml:space="preserve">(a) Who is the concessionaire of the Huguenot Tunnel in the Western Cape, (b) when were they appointed, (c) how were </w:t>
      </w:r>
      <w:r w:rsidRPr="00DA0998">
        <w:rPr>
          <w:rFonts w:ascii="Arial" w:hAnsi="Arial" w:cs="Arial"/>
          <w:lang w:val="af-ZA"/>
        </w:rPr>
        <w:t>they</w:t>
      </w:r>
      <w:r w:rsidRPr="00DA0998">
        <w:rPr>
          <w:rFonts w:ascii="Arial" w:hAnsi="Arial" w:cs="Arial"/>
        </w:rPr>
        <w:t xml:space="preserve"> appointed, (d) what criteria were used to appoint them, (e) when did this concessionaire start, (f) when will it be terminated (g) what are the terms and conditions of this concessionaire and (h) what financial costs and implications exist for </w:t>
      </w:r>
      <w:proofErr w:type="spellStart"/>
      <w:r w:rsidRPr="00DA0998">
        <w:rPr>
          <w:rFonts w:ascii="Arial" w:hAnsi="Arial" w:cs="Arial"/>
        </w:rPr>
        <w:t>Sanral</w:t>
      </w:r>
      <w:proofErr w:type="spellEnd"/>
      <w:r w:rsidRPr="00DA0998">
        <w:rPr>
          <w:rFonts w:ascii="Arial" w:hAnsi="Arial" w:cs="Arial"/>
        </w:rPr>
        <w:t xml:space="preserve"> or any other entity?</w:t>
      </w:r>
      <w:r w:rsidRPr="00DA0998">
        <w:rPr>
          <w:rFonts w:ascii="Arial" w:hAnsi="Arial" w:cs="Arial"/>
        </w:rPr>
        <w:tab/>
      </w:r>
      <w:r w:rsidRPr="00DA0998">
        <w:rPr>
          <w:rFonts w:ascii="Arial" w:hAnsi="Arial" w:cs="Arial"/>
        </w:rPr>
        <w:tab/>
      </w:r>
      <w:r w:rsidRPr="00DA0998">
        <w:rPr>
          <w:rFonts w:ascii="Arial" w:hAnsi="Arial" w:cs="Arial"/>
        </w:rPr>
        <w:tab/>
        <w:t>NW1571E</w:t>
      </w:r>
    </w:p>
    <w:p w:rsidR="00F15E18" w:rsidRPr="00296510" w:rsidRDefault="00F15E18" w:rsidP="00F15E18">
      <w:pPr>
        <w:rPr>
          <w:rFonts w:ascii="Arial" w:hAnsi="Arial" w:cs="Arial"/>
          <w:b/>
          <w:lang w:eastAsia="x-none"/>
        </w:rPr>
      </w:pPr>
      <w:r w:rsidRPr="00296510">
        <w:rPr>
          <w:rFonts w:ascii="Arial" w:hAnsi="Arial" w:cs="Arial"/>
          <w:b/>
          <w:lang w:eastAsia="x-none"/>
        </w:rPr>
        <w:t>REPLY</w:t>
      </w:r>
    </w:p>
    <w:p w:rsidR="00D32EB3" w:rsidRPr="00B52D63" w:rsidRDefault="00D32EB3" w:rsidP="00DC1FDD">
      <w:pPr>
        <w:ind w:left="567" w:hanging="567"/>
        <w:jc w:val="both"/>
        <w:rPr>
          <w:rFonts w:ascii="Arial" w:hAnsi="Arial" w:cs="Arial"/>
        </w:rPr>
      </w:pPr>
      <w:r w:rsidRPr="00DA0998">
        <w:rPr>
          <w:rFonts w:ascii="Arial" w:hAnsi="Arial" w:cs="Arial"/>
        </w:rPr>
        <w:t>(</w:t>
      </w:r>
      <w:r w:rsidRPr="00B52D63">
        <w:rPr>
          <w:rFonts w:ascii="Arial" w:hAnsi="Arial" w:cs="Arial"/>
        </w:rPr>
        <w:t xml:space="preserve">a) </w:t>
      </w:r>
      <w:r w:rsidR="005C1DBB">
        <w:rPr>
          <w:rFonts w:ascii="Arial" w:hAnsi="Arial" w:cs="Arial"/>
        </w:rPr>
        <w:tab/>
      </w:r>
      <w:r w:rsidRPr="00B52D63">
        <w:rPr>
          <w:rFonts w:ascii="Arial" w:hAnsi="Arial" w:cs="Arial"/>
          <w:color w:val="000000"/>
        </w:rPr>
        <w:t>The Huguenot Tunnel is not a concession</w:t>
      </w:r>
      <w:r w:rsidR="00575500" w:rsidRPr="00B52D63">
        <w:rPr>
          <w:rFonts w:ascii="Arial" w:hAnsi="Arial" w:cs="Arial"/>
          <w:color w:val="000000"/>
        </w:rPr>
        <w:t xml:space="preserve"> contract</w:t>
      </w:r>
      <w:r w:rsidRPr="00B52D63">
        <w:rPr>
          <w:rFonts w:ascii="Arial" w:hAnsi="Arial" w:cs="Arial"/>
          <w:color w:val="000000"/>
        </w:rPr>
        <w:t xml:space="preserve">, </w:t>
      </w:r>
      <w:r w:rsidR="00575500" w:rsidRPr="00B52D63">
        <w:rPr>
          <w:rFonts w:ascii="Arial" w:hAnsi="Arial" w:cs="Arial"/>
          <w:color w:val="000000"/>
        </w:rPr>
        <w:t>but a state-owned toll road, as</w:t>
      </w:r>
      <w:r w:rsidRPr="00B52D63">
        <w:rPr>
          <w:rFonts w:ascii="Arial" w:hAnsi="Arial" w:cs="Arial"/>
          <w:color w:val="000000"/>
        </w:rPr>
        <w:t xml:space="preserve"> it is funded and maintained by SANRAL</w:t>
      </w:r>
      <w:r w:rsidR="00575500" w:rsidRPr="00B52D63">
        <w:rPr>
          <w:rFonts w:ascii="Arial" w:hAnsi="Arial" w:cs="Arial"/>
          <w:color w:val="000000"/>
        </w:rPr>
        <w:t>. T</w:t>
      </w:r>
      <w:r w:rsidRPr="00B52D63">
        <w:rPr>
          <w:rFonts w:ascii="Arial" w:hAnsi="Arial" w:cs="Arial"/>
          <w:color w:val="000000"/>
        </w:rPr>
        <w:t>he toll operations</w:t>
      </w:r>
      <w:r w:rsidR="00575500" w:rsidRPr="00B52D63">
        <w:rPr>
          <w:rFonts w:ascii="Arial" w:hAnsi="Arial" w:cs="Arial"/>
          <w:color w:val="000000"/>
        </w:rPr>
        <w:t xml:space="preserve"> and tunnel management</w:t>
      </w:r>
      <w:r w:rsidRPr="00B52D63">
        <w:rPr>
          <w:rFonts w:ascii="Arial" w:hAnsi="Arial" w:cs="Arial"/>
          <w:color w:val="000000"/>
        </w:rPr>
        <w:t xml:space="preserve"> </w:t>
      </w:r>
      <w:r w:rsidR="00DC1FDD">
        <w:rPr>
          <w:rFonts w:ascii="Arial" w:hAnsi="Arial" w:cs="Arial"/>
          <w:color w:val="000000"/>
        </w:rPr>
        <w:t>are</w:t>
      </w:r>
      <w:r w:rsidRPr="00B52D63">
        <w:rPr>
          <w:rFonts w:ascii="Arial" w:hAnsi="Arial" w:cs="Arial"/>
          <w:color w:val="000000"/>
        </w:rPr>
        <w:t xml:space="preserve"> out</w:t>
      </w:r>
      <w:r w:rsidR="00DC1FDD">
        <w:rPr>
          <w:rFonts w:ascii="Arial" w:hAnsi="Arial" w:cs="Arial"/>
          <w:color w:val="000000"/>
        </w:rPr>
        <w:t xml:space="preserve">sourced to </w:t>
      </w:r>
      <w:proofErr w:type="spellStart"/>
      <w:r w:rsidR="00DC1FDD">
        <w:rPr>
          <w:rFonts w:ascii="Arial" w:hAnsi="Arial" w:cs="Arial"/>
          <w:color w:val="000000"/>
        </w:rPr>
        <w:t>Tolcon</w:t>
      </w:r>
      <w:proofErr w:type="spellEnd"/>
      <w:r w:rsidR="00DC1FDD">
        <w:rPr>
          <w:rFonts w:ascii="Arial" w:hAnsi="Arial" w:cs="Arial"/>
          <w:color w:val="000000"/>
        </w:rPr>
        <w:t xml:space="preserve"> Group, the Operator. </w:t>
      </w:r>
      <w:r w:rsidRPr="00B52D63">
        <w:rPr>
          <w:rFonts w:ascii="Arial" w:hAnsi="Arial" w:cs="Arial"/>
          <w:color w:val="000000"/>
        </w:rPr>
        <w:t>SMEC Consulting Engineers are the appointed professional service providers</w:t>
      </w:r>
      <w:r w:rsidR="00342113">
        <w:rPr>
          <w:rFonts w:ascii="Arial" w:hAnsi="Arial" w:cs="Arial"/>
          <w:color w:val="000000"/>
        </w:rPr>
        <w:t>;</w:t>
      </w:r>
      <w:r w:rsidRPr="00B52D63">
        <w:rPr>
          <w:rFonts w:ascii="Arial" w:hAnsi="Arial" w:cs="Arial"/>
          <w:color w:val="000000"/>
        </w:rPr>
        <w:t xml:space="preserve"> </w:t>
      </w:r>
      <w:r w:rsidR="00DC1FDD">
        <w:rPr>
          <w:rFonts w:ascii="Arial" w:hAnsi="Arial" w:cs="Arial"/>
          <w:color w:val="000000"/>
        </w:rPr>
        <w:t xml:space="preserve">and are responsible for </w:t>
      </w:r>
      <w:r w:rsidRPr="00B52D63">
        <w:rPr>
          <w:rFonts w:ascii="Arial" w:hAnsi="Arial" w:cs="Arial"/>
          <w:color w:val="000000"/>
        </w:rPr>
        <w:t>overseeing the operations and maintenance of the Huguenot Toll Plaza and Tunnel.</w:t>
      </w:r>
    </w:p>
    <w:p w:rsidR="00D32EB3" w:rsidRPr="00B52D63" w:rsidRDefault="00D32EB3" w:rsidP="00DC1FDD">
      <w:pPr>
        <w:ind w:left="567" w:hanging="567"/>
        <w:jc w:val="both"/>
        <w:rPr>
          <w:rFonts w:ascii="Arial" w:hAnsi="Arial" w:cs="Arial"/>
        </w:rPr>
      </w:pPr>
      <w:r w:rsidRPr="00B52D63">
        <w:rPr>
          <w:rFonts w:ascii="Arial" w:hAnsi="Arial" w:cs="Arial"/>
        </w:rPr>
        <w:t xml:space="preserve">(b) </w:t>
      </w:r>
      <w:r w:rsidR="005C1DBB">
        <w:rPr>
          <w:rFonts w:ascii="Arial" w:hAnsi="Arial" w:cs="Arial"/>
        </w:rPr>
        <w:tab/>
      </w:r>
      <w:proofErr w:type="spellStart"/>
      <w:r w:rsidRPr="00B52D63">
        <w:rPr>
          <w:rFonts w:ascii="Arial" w:hAnsi="Arial" w:cs="Arial"/>
        </w:rPr>
        <w:t>Tolcon</w:t>
      </w:r>
      <w:proofErr w:type="spellEnd"/>
      <w:r w:rsidRPr="00B52D63">
        <w:rPr>
          <w:rFonts w:ascii="Arial" w:hAnsi="Arial" w:cs="Arial"/>
        </w:rPr>
        <w:t xml:space="preserve"> was appointed </w:t>
      </w:r>
      <w:r w:rsidR="00DC1FDD">
        <w:rPr>
          <w:rFonts w:ascii="Arial" w:hAnsi="Arial" w:cs="Arial"/>
        </w:rPr>
        <w:t xml:space="preserve">on </w:t>
      </w:r>
      <w:r w:rsidRPr="00B52D63">
        <w:rPr>
          <w:rFonts w:ascii="Arial" w:hAnsi="Arial" w:cs="Arial"/>
        </w:rPr>
        <w:t>27 November 2014 and the Operations and Maintenance contract officially commenced on 01 February 2015</w:t>
      </w:r>
      <w:r w:rsidR="00575500" w:rsidRPr="00B52D63">
        <w:rPr>
          <w:rFonts w:ascii="Arial" w:hAnsi="Arial" w:cs="Arial"/>
        </w:rPr>
        <w:t>.</w:t>
      </w:r>
    </w:p>
    <w:p w:rsidR="00D32EB3" w:rsidRPr="00B52D63" w:rsidRDefault="00575500" w:rsidP="00DC1FDD">
      <w:pPr>
        <w:ind w:left="567" w:hanging="567"/>
        <w:jc w:val="both"/>
        <w:rPr>
          <w:rFonts w:ascii="Arial" w:hAnsi="Arial" w:cs="Arial"/>
        </w:rPr>
      </w:pPr>
      <w:r w:rsidRPr="00B52D63">
        <w:rPr>
          <w:rFonts w:ascii="Arial" w:hAnsi="Arial" w:cs="Arial"/>
        </w:rPr>
        <w:t>(c)</w:t>
      </w:r>
      <w:r w:rsidR="005C1DBB">
        <w:rPr>
          <w:rFonts w:ascii="Arial" w:hAnsi="Arial" w:cs="Arial"/>
        </w:rPr>
        <w:tab/>
      </w:r>
      <w:proofErr w:type="spellStart"/>
      <w:r w:rsidR="00D32EB3" w:rsidRPr="00B52D63">
        <w:rPr>
          <w:rFonts w:ascii="Arial" w:hAnsi="Arial" w:cs="Arial"/>
        </w:rPr>
        <w:t>Tolcon</w:t>
      </w:r>
      <w:proofErr w:type="spellEnd"/>
      <w:r w:rsidR="00D32EB3" w:rsidRPr="00B52D63">
        <w:rPr>
          <w:rFonts w:ascii="Arial" w:hAnsi="Arial" w:cs="Arial"/>
        </w:rPr>
        <w:t xml:space="preserve"> </w:t>
      </w:r>
      <w:r w:rsidRPr="00B52D63">
        <w:rPr>
          <w:rFonts w:ascii="Arial" w:hAnsi="Arial" w:cs="Arial"/>
        </w:rPr>
        <w:t>and SMEC Consulting Engineers were</w:t>
      </w:r>
      <w:r w:rsidR="00D32EB3" w:rsidRPr="00B52D63">
        <w:rPr>
          <w:rFonts w:ascii="Arial" w:hAnsi="Arial" w:cs="Arial"/>
        </w:rPr>
        <w:t xml:space="preserve"> </w:t>
      </w:r>
      <w:r w:rsidRPr="00B52D63">
        <w:rPr>
          <w:rFonts w:ascii="Arial" w:hAnsi="Arial" w:cs="Arial"/>
        </w:rPr>
        <w:t>appointed after</w:t>
      </w:r>
      <w:r w:rsidR="00D32EB3" w:rsidRPr="00B52D63">
        <w:rPr>
          <w:rFonts w:ascii="Arial" w:hAnsi="Arial" w:cs="Arial"/>
        </w:rPr>
        <w:t xml:space="preserve"> an open tender process</w:t>
      </w:r>
      <w:r w:rsidRPr="00B52D63">
        <w:rPr>
          <w:rFonts w:ascii="Arial" w:hAnsi="Arial" w:cs="Arial"/>
        </w:rPr>
        <w:t>.</w:t>
      </w:r>
    </w:p>
    <w:p w:rsidR="007B0008" w:rsidRPr="00B52D63" w:rsidRDefault="00D32EB3" w:rsidP="00DC1FDD">
      <w:pPr>
        <w:ind w:left="567" w:hanging="567"/>
        <w:jc w:val="both"/>
        <w:rPr>
          <w:rFonts w:ascii="Arial" w:hAnsi="Arial" w:cs="Arial"/>
        </w:rPr>
      </w:pPr>
      <w:r w:rsidRPr="00B52D63">
        <w:rPr>
          <w:rFonts w:ascii="Arial" w:hAnsi="Arial" w:cs="Arial"/>
        </w:rPr>
        <w:t>(d)</w:t>
      </w:r>
      <w:r w:rsidR="005C1DBB">
        <w:rPr>
          <w:rFonts w:ascii="Arial" w:hAnsi="Arial" w:cs="Arial"/>
        </w:rPr>
        <w:tab/>
      </w:r>
      <w:r w:rsidR="00575500" w:rsidRPr="00B52D63">
        <w:rPr>
          <w:rFonts w:ascii="Arial" w:hAnsi="Arial" w:cs="Arial"/>
        </w:rPr>
        <w:t>The tender provided for a</w:t>
      </w:r>
      <w:r w:rsidR="007B0008" w:rsidRPr="00B52D63">
        <w:rPr>
          <w:rFonts w:ascii="Arial" w:hAnsi="Arial" w:cs="Arial"/>
        </w:rPr>
        <w:t xml:space="preserve"> functionality requir</w:t>
      </w:r>
      <w:r w:rsidR="00D505CE" w:rsidRPr="00B52D63">
        <w:rPr>
          <w:rFonts w:ascii="Arial" w:hAnsi="Arial" w:cs="Arial"/>
        </w:rPr>
        <w:t xml:space="preserve">ement to be met </w:t>
      </w:r>
      <w:r w:rsidR="000663A4" w:rsidRPr="00B52D63">
        <w:rPr>
          <w:rFonts w:ascii="Arial" w:hAnsi="Arial" w:cs="Arial"/>
        </w:rPr>
        <w:t>as a minimum</w:t>
      </w:r>
      <w:r w:rsidR="007B0008" w:rsidRPr="00B52D63">
        <w:rPr>
          <w:rFonts w:ascii="Arial" w:hAnsi="Arial" w:cs="Arial"/>
        </w:rPr>
        <w:t>. This was calculated on the following basis:</w:t>
      </w:r>
    </w:p>
    <w:tbl>
      <w:tblPr>
        <w:tblW w:w="8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9"/>
        <w:gridCol w:w="3543"/>
        <w:gridCol w:w="2417"/>
      </w:tblGrid>
      <w:tr w:rsidR="00B52D63" w:rsidRPr="00B52D63" w:rsidTr="008811D8">
        <w:trPr>
          <w:trHeight w:val="439"/>
        </w:trPr>
        <w:tc>
          <w:tcPr>
            <w:tcW w:w="2689" w:type="dxa"/>
          </w:tcPr>
          <w:p w:rsidR="00B52D63" w:rsidRPr="00B52D63" w:rsidRDefault="00B52D63" w:rsidP="007D0D5D">
            <w:pPr>
              <w:pStyle w:val="Default"/>
              <w:ind w:right="34"/>
              <w:jc w:val="both"/>
              <w:rPr>
                <w:b/>
                <w:sz w:val="22"/>
                <w:szCs w:val="22"/>
              </w:rPr>
            </w:pPr>
            <w:r w:rsidRPr="00B52D63">
              <w:rPr>
                <w:b/>
                <w:sz w:val="22"/>
                <w:szCs w:val="22"/>
              </w:rPr>
              <w:t xml:space="preserve">THE QUALITY CRITERIA AND MAXIMUM SCORE IN RESPECT OF EACH OF THE CRITERIA ARE AS FOLLOWS: </w:t>
            </w:r>
          </w:p>
          <w:p w:rsidR="00B52D63" w:rsidRPr="00B52D63" w:rsidRDefault="00B52D63" w:rsidP="007D0D5D">
            <w:pPr>
              <w:pStyle w:val="Default"/>
              <w:ind w:right="34"/>
              <w:jc w:val="both"/>
              <w:rPr>
                <w:b/>
                <w:sz w:val="22"/>
                <w:szCs w:val="22"/>
              </w:rPr>
            </w:pPr>
            <w:r w:rsidRPr="00B52D63">
              <w:rPr>
                <w:b/>
                <w:bCs/>
                <w:sz w:val="22"/>
                <w:szCs w:val="22"/>
              </w:rPr>
              <w:t xml:space="preserve">FORM </w:t>
            </w:r>
          </w:p>
        </w:tc>
        <w:tc>
          <w:tcPr>
            <w:tcW w:w="3543" w:type="dxa"/>
          </w:tcPr>
          <w:p w:rsidR="00B52D63" w:rsidRPr="00B52D63" w:rsidRDefault="00B52D63" w:rsidP="007D0D5D">
            <w:pPr>
              <w:pStyle w:val="Default"/>
              <w:ind w:right="33"/>
              <w:jc w:val="both"/>
              <w:rPr>
                <w:b/>
                <w:sz w:val="22"/>
                <w:szCs w:val="22"/>
              </w:rPr>
            </w:pPr>
            <w:r w:rsidRPr="00B52D63">
              <w:rPr>
                <w:b/>
                <w:sz w:val="22"/>
                <w:szCs w:val="22"/>
              </w:rPr>
              <w:t xml:space="preserve"> </w:t>
            </w:r>
            <w:r w:rsidRPr="00B52D63">
              <w:rPr>
                <w:b/>
                <w:bCs/>
                <w:sz w:val="22"/>
                <w:szCs w:val="22"/>
              </w:rPr>
              <w:t xml:space="preserve">DESCRIPTION OF QUALITY CRITERIA AND SUB-CRITERIA </w:t>
            </w:r>
          </w:p>
        </w:tc>
        <w:tc>
          <w:tcPr>
            <w:tcW w:w="2417" w:type="dxa"/>
          </w:tcPr>
          <w:p w:rsidR="00B52D63" w:rsidRPr="00B52D63" w:rsidRDefault="00B52D63" w:rsidP="007D0D5D">
            <w:pPr>
              <w:pStyle w:val="Default"/>
              <w:ind w:right="41"/>
              <w:jc w:val="both"/>
              <w:rPr>
                <w:b/>
                <w:sz w:val="22"/>
                <w:szCs w:val="22"/>
              </w:rPr>
            </w:pPr>
            <w:r w:rsidRPr="00B52D63">
              <w:rPr>
                <w:b/>
                <w:sz w:val="22"/>
                <w:szCs w:val="22"/>
              </w:rPr>
              <w:t xml:space="preserve"> </w:t>
            </w:r>
            <w:r w:rsidRPr="00B52D63">
              <w:rPr>
                <w:b/>
                <w:bCs/>
                <w:sz w:val="22"/>
                <w:szCs w:val="22"/>
              </w:rPr>
              <w:t xml:space="preserve">MAXIMUM NUMBER OF TENDER EVALUATION POINTS </w:t>
            </w:r>
          </w:p>
        </w:tc>
      </w:tr>
      <w:tr w:rsidR="007B0008" w:rsidRPr="00B52D63" w:rsidTr="008811D8">
        <w:trPr>
          <w:trHeight w:val="208"/>
        </w:trPr>
        <w:tc>
          <w:tcPr>
            <w:tcW w:w="2689" w:type="dxa"/>
          </w:tcPr>
          <w:p w:rsidR="007B0008" w:rsidRPr="00B52D63" w:rsidRDefault="007B0008" w:rsidP="00B52D63">
            <w:pPr>
              <w:pStyle w:val="Default"/>
              <w:jc w:val="both"/>
              <w:rPr>
                <w:sz w:val="22"/>
                <w:szCs w:val="22"/>
              </w:rPr>
            </w:pPr>
            <w:r w:rsidRPr="00B52D63">
              <w:rPr>
                <w:color w:val="auto"/>
                <w:sz w:val="22"/>
                <w:szCs w:val="22"/>
              </w:rPr>
              <w:t xml:space="preserve"> </w:t>
            </w:r>
            <w:r w:rsidRPr="00B52D63">
              <w:rPr>
                <w:sz w:val="22"/>
                <w:szCs w:val="22"/>
              </w:rPr>
              <w:t xml:space="preserve">B1 </w:t>
            </w:r>
          </w:p>
        </w:tc>
        <w:tc>
          <w:tcPr>
            <w:tcW w:w="3543" w:type="dxa"/>
          </w:tcPr>
          <w:p w:rsidR="007B0008" w:rsidRPr="00B52D63" w:rsidRDefault="007B0008" w:rsidP="00080976">
            <w:pPr>
              <w:pStyle w:val="Default"/>
              <w:ind w:right="33"/>
              <w:jc w:val="both"/>
              <w:rPr>
                <w:sz w:val="22"/>
                <w:szCs w:val="22"/>
              </w:rPr>
            </w:pPr>
            <w:r w:rsidRPr="00B52D63">
              <w:rPr>
                <w:sz w:val="22"/>
                <w:szCs w:val="22"/>
              </w:rPr>
              <w:t xml:space="preserve">Schedule of Work Experience in comparable projects </w:t>
            </w:r>
          </w:p>
        </w:tc>
        <w:tc>
          <w:tcPr>
            <w:tcW w:w="2417" w:type="dxa"/>
          </w:tcPr>
          <w:p w:rsidR="007B0008" w:rsidRPr="00B52D63" w:rsidRDefault="007B0008" w:rsidP="00DC1FDD">
            <w:pPr>
              <w:pStyle w:val="Default"/>
              <w:ind w:right="33"/>
              <w:jc w:val="center"/>
              <w:rPr>
                <w:sz w:val="22"/>
                <w:szCs w:val="22"/>
              </w:rPr>
            </w:pPr>
            <w:r w:rsidRPr="00B52D63">
              <w:rPr>
                <w:sz w:val="22"/>
                <w:szCs w:val="22"/>
              </w:rPr>
              <w:t>20</w:t>
            </w:r>
          </w:p>
        </w:tc>
      </w:tr>
      <w:tr w:rsidR="007B0008" w:rsidRPr="00B52D63" w:rsidTr="008811D8">
        <w:trPr>
          <w:trHeight w:val="93"/>
        </w:trPr>
        <w:tc>
          <w:tcPr>
            <w:tcW w:w="2689" w:type="dxa"/>
          </w:tcPr>
          <w:p w:rsidR="007B0008" w:rsidRPr="00B52D63" w:rsidRDefault="007B0008" w:rsidP="00B52D63">
            <w:pPr>
              <w:pStyle w:val="Default"/>
              <w:jc w:val="both"/>
              <w:rPr>
                <w:sz w:val="22"/>
                <w:szCs w:val="22"/>
              </w:rPr>
            </w:pPr>
            <w:r w:rsidRPr="00B52D63">
              <w:rPr>
                <w:color w:val="auto"/>
                <w:sz w:val="22"/>
                <w:szCs w:val="22"/>
              </w:rPr>
              <w:t xml:space="preserve"> </w:t>
            </w:r>
            <w:r w:rsidRPr="00B52D63">
              <w:rPr>
                <w:sz w:val="22"/>
                <w:szCs w:val="22"/>
              </w:rPr>
              <w:t xml:space="preserve">B3 </w:t>
            </w:r>
          </w:p>
        </w:tc>
        <w:tc>
          <w:tcPr>
            <w:tcW w:w="3543" w:type="dxa"/>
          </w:tcPr>
          <w:p w:rsidR="007B0008" w:rsidRPr="00B52D63" w:rsidRDefault="007B0008" w:rsidP="00080976">
            <w:pPr>
              <w:pStyle w:val="Default"/>
              <w:ind w:right="33"/>
              <w:jc w:val="both"/>
              <w:rPr>
                <w:sz w:val="22"/>
                <w:szCs w:val="22"/>
              </w:rPr>
            </w:pPr>
            <w:r w:rsidRPr="00B52D63">
              <w:rPr>
                <w:sz w:val="22"/>
                <w:szCs w:val="22"/>
              </w:rPr>
              <w:t xml:space="preserve">Proposed Personnel for Key staff </w:t>
            </w:r>
          </w:p>
        </w:tc>
        <w:tc>
          <w:tcPr>
            <w:tcW w:w="2417" w:type="dxa"/>
          </w:tcPr>
          <w:p w:rsidR="007B0008" w:rsidRPr="00B52D63" w:rsidRDefault="007B0008" w:rsidP="00DC1FDD">
            <w:pPr>
              <w:pStyle w:val="Default"/>
              <w:ind w:right="33"/>
              <w:jc w:val="center"/>
              <w:rPr>
                <w:sz w:val="22"/>
                <w:szCs w:val="22"/>
              </w:rPr>
            </w:pPr>
            <w:r w:rsidRPr="00B52D63">
              <w:rPr>
                <w:sz w:val="22"/>
                <w:szCs w:val="22"/>
              </w:rPr>
              <w:t>15</w:t>
            </w:r>
          </w:p>
        </w:tc>
      </w:tr>
      <w:tr w:rsidR="007B0008" w:rsidRPr="00B52D63" w:rsidTr="008811D8">
        <w:trPr>
          <w:trHeight w:val="207"/>
        </w:trPr>
        <w:tc>
          <w:tcPr>
            <w:tcW w:w="2689" w:type="dxa"/>
          </w:tcPr>
          <w:p w:rsidR="007B0008" w:rsidRPr="00B52D63" w:rsidRDefault="007B0008" w:rsidP="00B52D63">
            <w:pPr>
              <w:pStyle w:val="Default"/>
              <w:jc w:val="both"/>
              <w:rPr>
                <w:sz w:val="22"/>
                <w:szCs w:val="22"/>
              </w:rPr>
            </w:pPr>
            <w:r w:rsidRPr="00B52D63">
              <w:rPr>
                <w:color w:val="auto"/>
                <w:sz w:val="22"/>
                <w:szCs w:val="22"/>
              </w:rPr>
              <w:t xml:space="preserve"> </w:t>
            </w:r>
            <w:r w:rsidRPr="00B52D63">
              <w:rPr>
                <w:sz w:val="22"/>
                <w:szCs w:val="22"/>
              </w:rPr>
              <w:t xml:space="preserve">B4 </w:t>
            </w:r>
          </w:p>
        </w:tc>
        <w:tc>
          <w:tcPr>
            <w:tcW w:w="3543" w:type="dxa"/>
          </w:tcPr>
          <w:p w:rsidR="007B0008" w:rsidRPr="00B52D63" w:rsidRDefault="007B0008" w:rsidP="00080976">
            <w:pPr>
              <w:pStyle w:val="Default"/>
              <w:ind w:right="33"/>
              <w:jc w:val="both"/>
              <w:rPr>
                <w:sz w:val="22"/>
                <w:szCs w:val="22"/>
              </w:rPr>
            </w:pPr>
            <w:r w:rsidRPr="00B52D63">
              <w:rPr>
                <w:sz w:val="22"/>
                <w:szCs w:val="22"/>
              </w:rPr>
              <w:t xml:space="preserve">Continuing professional development of the Key staff </w:t>
            </w:r>
          </w:p>
        </w:tc>
        <w:tc>
          <w:tcPr>
            <w:tcW w:w="2417" w:type="dxa"/>
          </w:tcPr>
          <w:p w:rsidR="007B0008" w:rsidRPr="00B52D63" w:rsidRDefault="007B0008" w:rsidP="00DC1FDD">
            <w:pPr>
              <w:pStyle w:val="Default"/>
              <w:ind w:left="108" w:right="33"/>
              <w:jc w:val="center"/>
              <w:rPr>
                <w:sz w:val="22"/>
                <w:szCs w:val="22"/>
              </w:rPr>
            </w:pPr>
            <w:r w:rsidRPr="00B52D63">
              <w:rPr>
                <w:sz w:val="22"/>
                <w:szCs w:val="22"/>
              </w:rPr>
              <w:t>5</w:t>
            </w:r>
          </w:p>
        </w:tc>
      </w:tr>
      <w:tr w:rsidR="007B0008" w:rsidRPr="00B52D63" w:rsidTr="008811D8">
        <w:trPr>
          <w:trHeight w:val="323"/>
        </w:trPr>
        <w:tc>
          <w:tcPr>
            <w:tcW w:w="2689" w:type="dxa"/>
          </w:tcPr>
          <w:p w:rsidR="007B0008" w:rsidRPr="00B52D63" w:rsidRDefault="007B0008" w:rsidP="00B52D63">
            <w:pPr>
              <w:pStyle w:val="Default"/>
              <w:jc w:val="both"/>
              <w:rPr>
                <w:sz w:val="22"/>
                <w:szCs w:val="22"/>
              </w:rPr>
            </w:pPr>
            <w:r w:rsidRPr="00B52D63">
              <w:rPr>
                <w:color w:val="auto"/>
                <w:sz w:val="22"/>
                <w:szCs w:val="22"/>
              </w:rPr>
              <w:t xml:space="preserve"> </w:t>
            </w:r>
            <w:r w:rsidRPr="00B52D63">
              <w:rPr>
                <w:sz w:val="22"/>
                <w:szCs w:val="22"/>
              </w:rPr>
              <w:t xml:space="preserve">B5 </w:t>
            </w:r>
          </w:p>
          <w:p w:rsidR="007B0008" w:rsidRPr="00B52D63" w:rsidRDefault="007B0008" w:rsidP="00B52D63">
            <w:pPr>
              <w:pStyle w:val="Default"/>
              <w:jc w:val="both"/>
              <w:rPr>
                <w:sz w:val="22"/>
                <w:szCs w:val="22"/>
              </w:rPr>
            </w:pPr>
            <w:r w:rsidRPr="00B52D63">
              <w:rPr>
                <w:sz w:val="22"/>
                <w:szCs w:val="22"/>
              </w:rPr>
              <w:t xml:space="preserve">(Items 1,4,5, &amp; 6) </w:t>
            </w:r>
          </w:p>
        </w:tc>
        <w:tc>
          <w:tcPr>
            <w:tcW w:w="3543" w:type="dxa"/>
          </w:tcPr>
          <w:p w:rsidR="007B0008" w:rsidRPr="00B52D63" w:rsidRDefault="007B0008" w:rsidP="00080976">
            <w:pPr>
              <w:pStyle w:val="Default"/>
              <w:ind w:right="33"/>
              <w:jc w:val="both"/>
              <w:rPr>
                <w:sz w:val="22"/>
                <w:szCs w:val="22"/>
              </w:rPr>
            </w:pPr>
            <w:r w:rsidRPr="00B52D63">
              <w:rPr>
                <w:sz w:val="22"/>
                <w:szCs w:val="22"/>
              </w:rPr>
              <w:t xml:space="preserve">Organisational structure, Logistics, support structures and managerial ability appropriate to the size and nature of the work </w:t>
            </w:r>
          </w:p>
        </w:tc>
        <w:tc>
          <w:tcPr>
            <w:tcW w:w="2417" w:type="dxa"/>
          </w:tcPr>
          <w:p w:rsidR="007B0008" w:rsidRPr="00B52D63" w:rsidRDefault="007B0008" w:rsidP="00DC1FDD">
            <w:pPr>
              <w:pStyle w:val="Default"/>
              <w:ind w:left="108" w:right="33"/>
              <w:jc w:val="center"/>
              <w:rPr>
                <w:sz w:val="22"/>
                <w:szCs w:val="22"/>
              </w:rPr>
            </w:pPr>
            <w:r w:rsidRPr="00B52D63">
              <w:rPr>
                <w:sz w:val="22"/>
                <w:szCs w:val="22"/>
              </w:rPr>
              <w:t>10</w:t>
            </w:r>
          </w:p>
        </w:tc>
      </w:tr>
      <w:tr w:rsidR="007B0008" w:rsidRPr="00B52D63" w:rsidTr="008811D8">
        <w:trPr>
          <w:trHeight w:val="208"/>
        </w:trPr>
        <w:tc>
          <w:tcPr>
            <w:tcW w:w="2689" w:type="dxa"/>
          </w:tcPr>
          <w:p w:rsidR="007B0008" w:rsidRPr="00B52D63" w:rsidRDefault="007B0008" w:rsidP="00B52D63">
            <w:pPr>
              <w:pStyle w:val="Default"/>
              <w:jc w:val="both"/>
              <w:rPr>
                <w:sz w:val="22"/>
                <w:szCs w:val="22"/>
              </w:rPr>
            </w:pPr>
            <w:r w:rsidRPr="00B52D63">
              <w:rPr>
                <w:color w:val="auto"/>
                <w:sz w:val="22"/>
                <w:szCs w:val="22"/>
              </w:rPr>
              <w:t xml:space="preserve"> </w:t>
            </w:r>
            <w:r w:rsidRPr="00B52D63">
              <w:rPr>
                <w:sz w:val="22"/>
                <w:szCs w:val="22"/>
              </w:rPr>
              <w:t xml:space="preserve">B5 </w:t>
            </w:r>
          </w:p>
          <w:p w:rsidR="007B0008" w:rsidRPr="00B52D63" w:rsidRDefault="007B0008" w:rsidP="00B52D63">
            <w:pPr>
              <w:pStyle w:val="Default"/>
              <w:jc w:val="both"/>
              <w:rPr>
                <w:sz w:val="22"/>
                <w:szCs w:val="22"/>
              </w:rPr>
            </w:pPr>
            <w:r w:rsidRPr="00B52D63">
              <w:rPr>
                <w:sz w:val="22"/>
                <w:szCs w:val="22"/>
              </w:rPr>
              <w:t xml:space="preserve">(Item 2) </w:t>
            </w:r>
          </w:p>
        </w:tc>
        <w:tc>
          <w:tcPr>
            <w:tcW w:w="3543" w:type="dxa"/>
          </w:tcPr>
          <w:p w:rsidR="007B0008" w:rsidRPr="00B52D63" w:rsidRDefault="007B0008" w:rsidP="00080976">
            <w:pPr>
              <w:pStyle w:val="Default"/>
              <w:ind w:right="33"/>
              <w:jc w:val="both"/>
              <w:rPr>
                <w:sz w:val="22"/>
                <w:szCs w:val="22"/>
              </w:rPr>
            </w:pPr>
            <w:r w:rsidRPr="00B52D63">
              <w:rPr>
                <w:sz w:val="22"/>
                <w:szCs w:val="22"/>
              </w:rPr>
              <w:t xml:space="preserve">Financial control structures </w:t>
            </w:r>
          </w:p>
        </w:tc>
        <w:tc>
          <w:tcPr>
            <w:tcW w:w="2417" w:type="dxa"/>
          </w:tcPr>
          <w:p w:rsidR="007B0008" w:rsidRPr="00B52D63" w:rsidRDefault="007B0008" w:rsidP="00DC1FDD">
            <w:pPr>
              <w:pStyle w:val="Default"/>
              <w:ind w:left="108" w:right="33"/>
              <w:jc w:val="center"/>
              <w:rPr>
                <w:sz w:val="22"/>
                <w:szCs w:val="22"/>
              </w:rPr>
            </w:pPr>
            <w:r w:rsidRPr="00B52D63">
              <w:rPr>
                <w:sz w:val="22"/>
                <w:szCs w:val="22"/>
              </w:rPr>
              <w:t>10</w:t>
            </w:r>
          </w:p>
        </w:tc>
      </w:tr>
      <w:tr w:rsidR="007B0008" w:rsidRPr="00B52D63" w:rsidTr="008811D8">
        <w:trPr>
          <w:trHeight w:val="208"/>
        </w:trPr>
        <w:tc>
          <w:tcPr>
            <w:tcW w:w="2689" w:type="dxa"/>
          </w:tcPr>
          <w:p w:rsidR="007B0008" w:rsidRPr="00B52D63" w:rsidRDefault="007B0008" w:rsidP="00B52D63">
            <w:pPr>
              <w:pStyle w:val="Default"/>
              <w:jc w:val="both"/>
              <w:rPr>
                <w:sz w:val="22"/>
                <w:szCs w:val="22"/>
              </w:rPr>
            </w:pPr>
            <w:r w:rsidRPr="00B52D63">
              <w:rPr>
                <w:color w:val="auto"/>
                <w:sz w:val="22"/>
                <w:szCs w:val="22"/>
              </w:rPr>
              <w:t xml:space="preserve"> </w:t>
            </w:r>
            <w:r w:rsidRPr="00B52D63">
              <w:rPr>
                <w:sz w:val="22"/>
                <w:szCs w:val="22"/>
              </w:rPr>
              <w:t xml:space="preserve">B5 </w:t>
            </w:r>
          </w:p>
          <w:p w:rsidR="007B0008" w:rsidRPr="00B52D63" w:rsidRDefault="007B0008" w:rsidP="00B52D63">
            <w:pPr>
              <w:pStyle w:val="Default"/>
              <w:jc w:val="both"/>
              <w:rPr>
                <w:sz w:val="22"/>
                <w:szCs w:val="22"/>
              </w:rPr>
            </w:pPr>
            <w:r w:rsidRPr="00B52D63">
              <w:rPr>
                <w:sz w:val="22"/>
                <w:szCs w:val="22"/>
              </w:rPr>
              <w:t xml:space="preserve">(Item 3) </w:t>
            </w:r>
          </w:p>
        </w:tc>
        <w:tc>
          <w:tcPr>
            <w:tcW w:w="3543" w:type="dxa"/>
          </w:tcPr>
          <w:p w:rsidR="007B0008" w:rsidRPr="00B52D63" w:rsidRDefault="007B0008" w:rsidP="00080976">
            <w:pPr>
              <w:pStyle w:val="Default"/>
              <w:ind w:right="33"/>
              <w:jc w:val="both"/>
              <w:rPr>
                <w:sz w:val="22"/>
                <w:szCs w:val="22"/>
              </w:rPr>
            </w:pPr>
            <w:r w:rsidRPr="00B52D63">
              <w:rPr>
                <w:sz w:val="22"/>
                <w:szCs w:val="22"/>
              </w:rPr>
              <w:t xml:space="preserve">Financial information </w:t>
            </w:r>
          </w:p>
        </w:tc>
        <w:tc>
          <w:tcPr>
            <w:tcW w:w="2417" w:type="dxa"/>
          </w:tcPr>
          <w:p w:rsidR="007B0008" w:rsidRPr="00B52D63" w:rsidRDefault="007B0008" w:rsidP="00DC1FDD">
            <w:pPr>
              <w:pStyle w:val="Default"/>
              <w:ind w:left="108" w:right="33"/>
              <w:jc w:val="center"/>
              <w:rPr>
                <w:sz w:val="22"/>
                <w:szCs w:val="22"/>
              </w:rPr>
            </w:pPr>
            <w:r w:rsidRPr="00B52D63">
              <w:rPr>
                <w:sz w:val="22"/>
                <w:szCs w:val="22"/>
              </w:rPr>
              <w:t>5</w:t>
            </w:r>
          </w:p>
        </w:tc>
      </w:tr>
      <w:tr w:rsidR="007B0008" w:rsidRPr="00B52D63" w:rsidTr="008811D8">
        <w:trPr>
          <w:trHeight w:val="208"/>
        </w:trPr>
        <w:tc>
          <w:tcPr>
            <w:tcW w:w="2689" w:type="dxa"/>
          </w:tcPr>
          <w:p w:rsidR="007B0008" w:rsidRPr="00B52D63" w:rsidRDefault="007B0008" w:rsidP="00B52D63">
            <w:pPr>
              <w:pStyle w:val="Default"/>
              <w:jc w:val="both"/>
              <w:rPr>
                <w:sz w:val="22"/>
                <w:szCs w:val="22"/>
              </w:rPr>
            </w:pPr>
            <w:r w:rsidRPr="00B52D63">
              <w:rPr>
                <w:color w:val="auto"/>
                <w:sz w:val="22"/>
                <w:szCs w:val="22"/>
              </w:rPr>
              <w:t xml:space="preserve"> </w:t>
            </w:r>
            <w:r w:rsidRPr="00B52D63">
              <w:rPr>
                <w:sz w:val="22"/>
                <w:szCs w:val="22"/>
              </w:rPr>
              <w:t xml:space="preserve">B5 </w:t>
            </w:r>
          </w:p>
          <w:p w:rsidR="007B0008" w:rsidRPr="00B52D63" w:rsidRDefault="007B0008" w:rsidP="00B52D63">
            <w:pPr>
              <w:pStyle w:val="Default"/>
              <w:jc w:val="both"/>
              <w:rPr>
                <w:sz w:val="22"/>
                <w:szCs w:val="22"/>
              </w:rPr>
            </w:pPr>
            <w:r w:rsidRPr="00B52D63">
              <w:rPr>
                <w:sz w:val="22"/>
                <w:szCs w:val="22"/>
              </w:rPr>
              <w:t xml:space="preserve">(Item 7) </w:t>
            </w:r>
          </w:p>
        </w:tc>
        <w:tc>
          <w:tcPr>
            <w:tcW w:w="3543" w:type="dxa"/>
          </w:tcPr>
          <w:p w:rsidR="007B0008" w:rsidRPr="00B52D63" w:rsidRDefault="007B0008" w:rsidP="00080976">
            <w:pPr>
              <w:pStyle w:val="Default"/>
              <w:ind w:right="-108"/>
              <w:jc w:val="both"/>
              <w:rPr>
                <w:sz w:val="22"/>
                <w:szCs w:val="22"/>
              </w:rPr>
            </w:pPr>
            <w:r w:rsidRPr="00B52D63">
              <w:rPr>
                <w:sz w:val="22"/>
                <w:szCs w:val="22"/>
              </w:rPr>
              <w:t xml:space="preserve">Maintenance proficiency </w:t>
            </w:r>
          </w:p>
        </w:tc>
        <w:tc>
          <w:tcPr>
            <w:tcW w:w="2417" w:type="dxa"/>
          </w:tcPr>
          <w:p w:rsidR="007B0008" w:rsidRPr="00B52D63" w:rsidRDefault="007B0008" w:rsidP="00DC1FDD">
            <w:pPr>
              <w:pStyle w:val="Default"/>
              <w:ind w:right="-108"/>
              <w:jc w:val="center"/>
              <w:rPr>
                <w:sz w:val="22"/>
                <w:szCs w:val="22"/>
              </w:rPr>
            </w:pPr>
            <w:r w:rsidRPr="00B52D63">
              <w:rPr>
                <w:sz w:val="22"/>
                <w:szCs w:val="22"/>
              </w:rPr>
              <w:t>15</w:t>
            </w:r>
          </w:p>
        </w:tc>
      </w:tr>
      <w:tr w:rsidR="007B0008" w:rsidRPr="00B52D63" w:rsidTr="008811D8">
        <w:trPr>
          <w:trHeight w:val="208"/>
        </w:trPr>
        <w:tc>
          <w:tcPr>
            <w:tcW w:w="2689" w:type="dxa"/>
          </w:tcPr>
          <w:p w:rsidR="007B0008" w:rsidRPr="00B52D63" w:rsidRDefault="007B0008" w:rsidP="00B52D63">
            <w:pPr>
              <w:pStyle w:val="Default"/>
              <w:jc w:val="both"/>
              <w:rPr>
                <w:sz w:val="22"/>
                <w:szCs w:val="22"/>
              </w:rPr>
            </w:pPr>
            <w:r w:rsidRPr="00B52D63">
              <w:rPr>
                <w:color w:val="auto"/>
                <w:sz w:val="22"/>
                <w:szCs w:val="22"/>
              </w:rPr>
              <w:t xml:space="preserve"> </w:t>
            </w:r>
            <w:r w:rsidRPr="00B52D63">
              <w:rPr>
                <w:sz w:val="22"/>
                <w:szCs w:val="22"/>
              </w:rPr>
              <w:t xml:space="preserve">B7 </w:t>
            </w:r>
          </w:p>
        </w:tc>
        <w:tc>
          <w:tcPr>
            <w:tcW w:w="3543" w:type="dxa"/>
          </w:tcPr>
          <w:p w:rsidR="007B0008" w:rsidRPr="00B52D63" w:rsidRDefault="007B0008" w:rsidP="00080976">
            <w:pPr>
              <w:pStyle w:val="Default"/>
              <w:ind w:right="175"/>
              <w:jc w:val="both"/>
              <w:rPr>
                <w:sz w:val="22"/>
                <w:szCs w:val="22"/>
              </w:rPr>
            </w:pPr>
            <w:r w:rsidRPr="00B52D63">
              <w:rPr>
                <w:sz w:val="22"/>
                <w:szCs w:val="22"/>
              </w:rPr>
              <w:t xml:space="preserve">Toll Systems Replacement: Methodology, Approach &amp; Technical Compliance </w:t>
            </w:r>
          </w:p>
        </w:tc>
        <w:tc>
          <w:tcPr>
            <w:tcW w:w="2417" w:type="dxa"/>
          </w:tcPr>
          <w:p w:rsidR="007B0008" w:rsidRPr="00B52D63" w:rsidRDefault="007B0008" w:rsidP="00DC1FDD">
            <w:pPr>
              <w:pStyle w:val="Default"/>
              <w:ind w:right="-108"/>
              <w:jc w:val="center"/>
              <w:rPr>
                <w:sz w:val="22"/>
                <w:szCs w:val="22"/>
              </w:rPr>
            </w:pPr>
            <w:r w:rsidRPr="00B52D63">
              <w:rPr>
                <w:sz w:val="22"/>
                <w:szCs w:val="22"/>
              </w:rPr>
              <w:t>15</w:t>
            </w:r>
          </w:p>
        </w:tc>
      </w:tr>
      <w:tr w:rsidR="007B0008" w:rsidRPr="00B52D63" w:rsidTr="008811D8">
        <w:trPr>
          <w:trHeight w:val="93"/>
        </w:trPr>
        <w:tc>
          <w:tcPr>
            <w:tcW w:w="2689" w:type="dxa"/>
          </w:tcPr>
          <w:p w:rsidR="007B0008" w:rsidRPr="00B52D63" w:rsidRDefault="007B0008" w:rsidP="00B52D63">
            <w:pPr>
              <w:pStyle w:val="Default"/>
              <w:jc w:val="both"/>
              <w:rPr>
                <w:sz w:val="22"/>
                <w:szCs w:val="22"/>
              </w:rPr>
            </w:pPr>
            <w:r w:rsidRPr="00B52D63">
              <w:rPr>
                <w:color w:val="auto"/>
                <w:sz w:val="22"/>
                <w:szCs w:val="22"/>
              </w:rPr>
              <w:t xml:space="preserve"> </w:t>
            </w:r>
            <w:r w:rsidRPr="00B52D63">
              <w:rPr>
                <w:sz w:val="22"/>
                <w:szCs w:val="22"/>
              </w:rPr>
              <w:t xml:space="preserve">B8 </w:t>
            </w:r>
          </w:p>
        </w:tc>
        <w:tc>
          <w:tcPr>
            <w:tcW w:w="3543" w:type="dxa"/>
          </w:tcPr>
          <w:p w:rsidR="007B0008" w:rsidRPr="00B52D63" w:rsidRDefault="007B0008" w:rsidP="00080976">
            <w:pPr>
              <w:pStyle w:val="Default"/>
              <w:ind w:right="-108"/>
              <w:jc w:val="both"/>
              <w:rPr>
                <w:sz w:val="22"/>
                <w:szCs w:val="22"/>
              </w:rPr>
            </w:pPr>
            <w:r w:rsidRPr="00B52D63">
              <w:rPr>
                <w:sz w:val="22"/>
                <w:szCs w:val="22"/>
              </w:rPr>
              <w:t xml:space="preserve">Toll Manning Configuration </w:t>
            </w:r>
          </w:p>
        </w:tc>
        <w:tc>
          <w:tcPr>
            <w:tcW w:w="2417" w:type="dxa"/>
          </w:tcPr>
          <w:p w:rsidR="007B0008" w:rsidRPr="00B52D63" w:rsidRDefault="007B0008" w:rsidP="00DC1FDD">
            <w:pPr>
              <w:pStyle w:val="Default"/>
              <w:ind w:right="-108"/>
              <w:jc w:val="center"/>
              <w:rPr>
                <w:sz w:val="22"/>
                <w:szCs w:val="22"/>
              </w:rPr>
            </w:pPr>
            <w:r w:rsidRPr="00B52D63">
              <w:rPr>
                <w:sz w:val="22"/>
                <w:szCs w:val="22"/>
              </w:rPr>
              <w:t>5</w:t>
            </w:r>
          </w:p>
        </w:tc>
      </w:tr>
      <w:tr w:rsidR="008811D8" w:rsidRPr="00B52D63" w:rsidTr="008811D8">
        <w:trPr>
          <w:trHeight w:val="101"/>
        </w:trPr>
        <w:tc>
          <w:tcPr>
            <w:tcW w:w="6232" w:type="dxa"/>
            <w:gridSpan w:val="2"/>
          </w:tcPr>
          <w:p w:rsidR="008811D8" w:rsidRPr="00B52D63" w:rsidRDefault="008811D8" w:rsidP="00080976">
            <w:pPr>
              <w:pStyle w:val="Default"/>
              <w:ind w:right="-108"/>
              <w:jc w:val="both"/>
              <w:rPr>
                <w:sz w:val="22"/>
                <w:szCs w:val="22"/>
              </w:rPr>
            </w:pPr>
            <w:r w:rsidRPr="00B52D63">
              <w:rPr>
                <w:color w:val="auto"/>
                <w:sz w:val="22"/>
                <w:szCs w:val="22"/>
              </w:rPr>
              <w:lastRenderedPageBreak/>
              <w:t xml:space="preserve"> </w:t>
            </w:r>
            <w:r w:rsidRPr="00B52D63">
              <w:rPr>
                <w:sz w:val="22"/>
                <w:szCs w:val="22"/>
              </w:rPr>
              <w:t xml:space="preserve">Total evaluation points for quality (MS) </w:t>
            </w:r>
          </w:p>
        </w:tc>
        <w:tc>
          <w:tcPr>
            <w:tcW w:w="2417" w:type="dxa"/>
          </w:tcPr>
          <w:p w:rsidR="008811D8" w:rsidRPr="00B52D63" w:rsidRDefault="008811D8" w:rsidP="00DC1FDD">
            <w:pPr>
              <w:pStyle w:val="Default"/>
              <w:ind w:right="-108"/>
              <w:jc w:val="center"/>
              <w:rPr>
                <w:sz w:val="22"/>
                <w:szCs w:val="22"/>
              </w:rPr>
            </w:pPr>
            <w:r w:rsidRPr="00B52D63">
              <w:rPr>
                <w:sz w:val="22"/>
                <w:szCs w:val="22"/>
              </w:rPr>
              <w:t>100</w:t>
            </w:r>
          </w:p>
        </w:tc>
      </w:tr>
    </w:tbl>
    <w:p w:rsidR="005C1DBB" w:rsidRDefault="005C1DBB" w:rsidP="00B52D63">
      <w:pPr>
        <w:pStyle w:val="Default"/>
        <w:jc w:val="both"/>
        <w:rPr>
          <w:sz w:val="22"/>
          <w:szCs w:val="22"/>
        </w:rPr>
      </w:pPr>
    </w:p>
    <w:p w:rsidR="007B0008" w:rsidRPr="00B52D63" w:rsidRDefault="007B0008" w:rsidP="00B52D63">
      <w:pPr>
        <w:pStyle w:val="Default"/>
        <w:jc w:val="both"/>
        <w:rPr>
          <w:sz w:val="22"/>
          <w:szCs w:val="22"/>
        </w:rPr>
      </w:pPr>
      <w:r w:rsidRPr="00B52D63">
        <w:rPr>
          <w:sz w:val="22"/>
          <w:szCs w:val="22"/>
        </w:rPr>
        <w:t>The minimum number of evaluation points for quality (WQ) was 75</w:t>
      </w:r>
      <w:r w:rsidR="00575500" w:rsidRPr="00B52D63">
        <w:rPr>
          <w:sz w:val="22"/>
          <w:szCs w:val="22"/>
        </w:rPr>
        <w:t>.</w:t>
      </w:r>
      <w:r w:rsidRPr="00B52D63">
        <w:rPr>
          <w:sz w:val="22"/>
          <w:szCs w:val="22"/>
        </w:rPr>
        <w:t xml:space="preserve"> </w:t>
      </w:r>
    </w:p>
    <w:p w:rsidR="007B0008" w:rsidRPr="00B52D63" w:rsidRDefault="007B0008" w:rsidP="00B52D63">
      <w:pPr>
        <w:jc w:val="both"/>
        <w:rPr>
          <w:rFonts w:ascii="Arial" w:hAnsi="Arial" w:cs="Arial"/>
        </w:rPr>
      </w:pPr>
    </w:p>
    <w:p w:rsidR="00F15E18" w:rsidRPr="00B52D63" w:rsidRDefault="00F15E18" w:rsidP="00B52D63">
      <w:pPr>
        <w:jc w:val="both"/>
        <w:rPr>
          <w:rFonts w:ascii="Arial" w:hAnsi="Arial" w:cs="Arial"/>
        </w:rPr>
      </w:pPr>
      <w:r w:rsidRPr="00B52D63">
        <w:rPr>
          <w:rFonts w:ascii="Arial" w:hAnsi="Arial" w:cs="Arial"/>
        </w:rPr>
        <w:t>All compliant tenders who met the threshold moved on to the second stage of the tender evaluation which was Price and Preference</w:t>
      </w:r>
      <w:r w:rsidR="00575500" w:rsidRPr="00B52D63">
        <w:rPr>
          <w:rFonts w:ascii="Arial" w:hAnsi="Arial" w:cs="Arial"/>
        </w:rPr>
        <w:t xml:space="preserve"> (90/10)</w:t>
      </w:r>
      <w:r w:rsidRPr="00B52D63">
        <w:rPr>
          <w:rFonts w:ascii="Arial" w:hAnsi="Arial" w:cs="Arial"/>
        </w:rPr>
        <w:t>.</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7B0008" w:rsidRPr="00B52D63" w:rsidTr="007B0008">
        <w:trPr>
          <w:trHeight w:val="93"/>
        </w:trPr>
        <w:tc>
          <w:tcPr>
            <w:tcW w:w="9464" w:type="dxa"/>
          </w:tcPr>
          <w:p w:rsidR="007B0008" w:rsidRPr="00B52D63" w:rsidRDefault="007B0008" w:rsidP="00B52D63">
            <w:pPr>
              <w:pStyle w:val="Default"/>
              <w:jc w:val="both"/>
              <w:rPr>
                <w:sz w:val="22"/>
                <w:szCs w:val="22"/>
              </w:rPr>
            </w:pPr>
            <w:r w:rsidRPr="00B52D63">
              <w:rPr>
                <w:sz w:val="22"/>
                <w:szCs w:val="22"/>
              </w:rPr>
              <w:t xml:space="preserve">Scoring preference: </w:t>
            </w:r>
          </w:p>
        </w:tc>
      </w:tr>
      <w:tr w:rsidR="007B0008" w:rsidRPr="00B52D63" w:rsidTr="007B0008">
        <w:trPr>
          <w:trHeight w:val="553"/>
        </w:trPr>
        <w:tc>
          <w:tcPr>
            <w:tcW w:w="9464" w:type="dxa"/>
          </w:tcPr>
          <w:p w:rsidR="007B0008" w:rsidRPr="00B52D63" w:rsidRDefault="007B0008" w:rsidP="00B52D63">
            <w:pPr>
              <w:pStyle w:val="Default"/>
              <w:jc w:val="both"/>
              <w:rPr>
                <w:sz w:val="22"/>
                <w:szCs w:val="22"/>
              </w:rPr>
            </w:pPr>
            <w:r w:rsidRPr="00B52D63">
              <w:rPr>
                <w:sz w:val="22"/>
                <w:szCs w:val="22"/>
              </w:rPr>
              <w:t xml:space="preserve">Up to 100 minus W1 tender evaluation points will be awarded to tenderers who submit responsive tenders and who are found to be eligible for the preference claimed. Points are based on a tenderer’s scorecard measured in terms of the Broad-Based Black Economic Empowerment Act (B-BBEE, Act 53 of 2003) and the Regulations (2009) to the Preferential Procurement Policy Framework Act (PPPFA, Act 5 of 2000). </w:t>
            </w:r>
          </w:p>
        </w:tc>
      </w:tr>
      <w:tr w:rsidR="007B0008" w:rsidRPr="00B52D63" w:rsidTr="007B0008">
        <w:trPr>
          <w:trHeight w:val="207"/>
        </w:trPr>
        <w:tc>
          <w:tcPr>
            <w:tcW w:w="9464" w:type="dxa"/>
          </w:tcPr>
          <w:p w:rsidR="007B0008" w:rsidRPr="00B52D63" w:rsidRDefault="00DC1FDD" w:rsidP="00B52D63">
            <w:pPr>
              <w:pStyle w:val="Default"/>
              <w:jc w:val="both"/>
              <w:rPr>
                <w:sz w:val="22"/>
                <w:szCs w:val="22"/>
              </w:rPr>
            </w:pPr>
            <w:r>
              <w:rPr>
                <w:sz w:val="22"/>
                <w:szCs w:val="22"/>
              </w:rPr>
              <w:t>Points awarded were</w:t>
            </w:r>
            <w:r w:rsidR="007B0008" w:rsidRPr="00B52D63">
              <w:rPr>
                <w:sz w:val="22"/>
                <w:szCs w:val="22"/>
              </w:rPr>
              <w:t xml:space="preserve"> allocated according to a tenderer’s B-BBEE status level of contributor and summarised in the table below: </w:t>
            </w:r>
          </w:p>
          <w:p w:rsidR="007B0008" w:rsidRPr="00B52D63" w:rsidRDefault="007B0008" w:rsidP="00B52D63">
            <w:pPr>
              <w:pStyle w:val="Default"/>
              <w:jc w:val="both"/>
              <w:rPr>
                <w:sz w:val="22"/>
                <w:szCs w:val="22"/>
              </w:rPr>
            </w:pPr>
          </w:p>
          <w:p w:rsidR="007B0008" w:rsidRPr="00B52D63" w:rsidRDefault="007B0008" w:rsidP="00B52D63">
            <w:pPr>
              <w:pStyle w:val="Default"/>
              <w:jc w:val="both"/>
              <w:rPr>
                <w:sz w:val="22"/>
                <w:szCs w:val="22"/>
              </w:rPr>
            </w:pPr>
            <w:r w:rsidRPr="00B52D63">
              <w:rPr>
                <w:noProof/>
                <w:sz w:val="22"/>
                <w:szCs w:val="22"/>
                <w:lang w:eastAsia="en-ZA"/>
              </w:rPr>
              <w:drawing>
                <wp:inline distT="0" distB="0" distL="0" distR="0" wp14:anchorId="5BFD72FC" wp14:editId="68594B94">
                  <wp:extent cx="57531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3100" cy="2819400"/>
                          </a:xfrm>
                          <a:prstGeom prst="rect">
                            <a:avLst/>
                          </a:prstGeom>
                        </pic:spPr>
                      </pic:pic>
                    </a:graphicData>
                  </a:graphic>
                </wp:inline>
              </w:drawing>
            </w:r>
          </w:p>
        </w:tc>
      </w:tr>
    </w:tbl>
    <w:p w:rsidR="007B0008" w:rsidRPr="00B52D63" w:rsidRDefault="007B0008" w:rsidP="00B52D63">
      <w:pPr>
        <w:jc w:val="both"/>
        <w:rPr>
          <w:rFonts w:ascii="Arial" w:hAnsi="Arial" w:cs="Arial"/>
        </w:rPr>
      </w:pPr>
    </w:p>
    <w:p w:rsidR="007B0008" w:rsidRPr="00B52D63" w:rsidRDefault="007B0008" w:rsidP="00B52D63">
      <w:pPr>
        <w:jc w:val="both"/>
        <w:rPr>
          <w:rFonts w:ascii="Arial" w:hAnsi="Arial" w:cs="Arial"/>
        </w:rPr>
      </w:pPr>
      <w:r w:rsidRPr="00B52D63">
        <w:rPr>
          <w:rFonts w:ascii="Arial" w:hAnsi="Arial" w:cs="Arial"/>
        </w:rPr>
        <w:t xml:space="preserve">The score </w:t>
      </w:r>
      <w:r w:rsidR="00B47C86" w:rsidRPr="00B52D63">
        <w:rPr>
          <w:rFonts w:ascii="Arial" w:hAnsi="Arial" w:cs="Arial"/>
        </w:rPr>
        <w:t xml:space="preserve">for price </w:t>
      </w:r>
      <w:r w:rsidR="00DC1FDD">
        <w:rPr>
          <w:rFonts w:ascii="Arial" w:hAnsi="Arial" w:cs="Arial"/>
        </w:rPr>
        <w:t>was</w:t>
      </w:r>
      <w:r w:rsidR="00B47C86" w:rsidRPr="00B52D63">
        <w:rPr>
          <w:rFonts w:ascii="Arial" w:hAnsi="Arial" w:cs="Arial"/>
        </w:rPr>
        <w:t xml:space="preserve"> calculated out of the 90 points using the formula:</w:t>
      </w:r>
    </w:p>
    <w:p w:rsidR="00F15E18" w:rsidRPr="00B52D63" w:rsidRDefault="00F15E18" w:rsidP="00B52D63">
      <w:pPr>
        <w:autoSpaceDE w:val="0"/>
        <w:autoSpaceDN w:val="0"/>
        <w:adjustRightInd w:val="0"/>
        <w:spacing w:after="0" w:line="240" w:lineRule="auto"/>
        <w:jc w:val="both"/>
        <w:rPr>
          <w:rFonts w:ascii="Arial" w:hAnsi="Arial" w:cs="Arial"/>
          <w:color w:val="000000"/>
        </w:rPr>
      </w:pPr>
      <w:r w:rsidRPr="00B52D63">
        <w:rPr>
          <w:rFonts w:ascii="Arial" w:hAnsi="Arial" w:cs="Arial"/>
          <w:color w:val="000000"/>
        </w:rPr>
        <w:t xml:space="preserve">A = (1 – (P – Pm)/Pm) </w:t>
      </w:r>
    </w:p>
    <w:p w:rsidR="00F15E18" w:rsidRPr="00B52D63" w:rsidRDefault="00F15E18" w:rsidP="00B52D63">
      <w:pPr>
        <w:autoSpaceDE w:val="0"/>
        <w:autoSpaceDN w:val="0"/>
        <w:adjustRightInd w:val="0"/>
        <w:spacing w:after="0" w:line="240" w:lineRule="auto"/>
        <w:jc w:val="both"/>
        <w:rPr>
          <w:rFonts w:ascii="Arial" w:hAnsi="Arial" w:cs="Arial"/>
          <w:color w:val="000000"/>
        </w:rPr>
      </w:pPr>
    </w:p>
    <w:p w:rsidR="00F15E18" w:rsidRPr="00B52D63" w:rsidRDefault="00F15E18" w:rsidP="00B52D63">
      <w:pPr>
        <w:autoSpaceDE w:val="0"/>
        <w:autoSpaceDN w:val="0"/>
        <w:adjustRightInd w:val="0"/>
        <w:spacing w:after="0" w:line="240" w:lineRule="auto"/>
        <w:jc w:val="both"/>
        <w:rPr>
          <w:rFonts w:ascii="Arial" w:hAnsi="Arial" w:cs="Arial"/>
          <w:color w:val="000000"/>
        </w:rPr>
      </w:pPr>
      <w:r w:rsidRPr="00B52D63">
        <w:rPr>
          <w:rFonts w:ascii="Arial" w:hAnsi="Arial" w:cs="Arial"/>
          <w:color w:val="000000"/>
        </w:rPr>
        <w:t>Pm is the comparative offer of the most favourable comparative offer</w:t>
      </w:r>
    </w:p>
    <w:p w:rsidR="00B47C86" w:rsidRPr="00B52D63" w:rsidRDefault="00F15E18" w:rsidP="00B52D63">
      <w:pPr>
        <w:jc w:val="both"/>
        <w:rPr>
          <w:rFonts w:ascii="Arial" w:hAnsi="Arial" w:cs="Arial"/>
        </w:rPr>
      </w:pPr>
      <w:r w:rsidRPr="00B52D63">
        <w:rPr>
          <w:rFonts w:ascii="Arial" w:hAnsi="Arial" w:cs="Arial"/>
          <w:color w:val="000000"/>
        </w:rPr>
        <w:t xml:space="preserve">P is the comparative offer of the tender offer under consideration </w:t>
      </w:r>
    </w:p>
    <w:p w:rsidR="00B47C86" w:rsidRPr="00B52D63" w:rsidRDefault="00B47C86" w:rsidP="00B52D63">
      <w:pPr>
        <w:jc w:val="both"/>
        <w:rPr>
          <w:rFonts w:ascii="Arial" w:hAnsi="Arial" w:cs="Arial"/>
        </w:rPr>
      </w:pPr>
      <w:r w:rsidRPr="00B52D63">
        <w:rPr>
          <w:rFonts w:ascii="Arial" w:hAnsi="Arial" w:cs="Arial"/>
        </w:rPr>
        <w:t xml:space="preserve">The points for Price </w:t>
      </w:r>
      <w:r w:rsidR="00F15E18" w:rsidRPr="00B52D63">
        <w:rPr>
          <w:rFonts w:ascii="Arial" w:hAnsi="Arial" w:cs="Arial"/>
        </w:rPr>
        <w:t>was</w:t>
      </w:r>
      <w:r w:rsidRPr="00B52D63">
        <w:rPr>
          <w:rFonts w:ascii="Arial" w:hAnsi="Arial" w:cs="Arial"/>
        </w:rPr>
        <w:t xml:space="preserve"> then added to the Preference Point for a total point out of 100. The tender is awarded to the highest point scorer.</w:t>
      </w:r>
    </w:p>
    <w:p w:rsidR="00575500" w:rsidRPr="00B52D63" w:rsidRDefault="00575500" w:rsidP="00B52D63">
      <w:pPr>
        <w:jc w:val="both"/>
        <w:rPr>
          <w:rFonts w:ascii="Arial" w:hAnsi="Arial" w:cs="Arial"/>
        </w:rPr>
      </w:pPr>
    </w:p>
    <w:p w:rsidR="00D32EB3" w:rsidRPr="00B52D63" w:rsidRDefault="00D32EB3" w:rsidP="00DC1FDD">
      <w:pPr>
        <w:ind w:left="567" w:hanging="507"/>
        <w:jc w:val="both"/>
        <w:rPr>
          <w:rFonts w:ascii="Arial" w:hAnsi="Arial" w:cs="Arial"/>
        </w:rPr>
      </w:pPr>
      <w:r w:rsidRPr="00B52D63">
        <w:rPr>
          <w:rFonts w:ascii="Arial" w:hAnsi="Arial" w:cs="Arial"/>
        </w:rPr>
        <w:t xml:space="preserve">(e) </w:t>
      </w:r>
      <w:r w:rsidR="005C1DBB">
        <w:rPr>
          <w:rFonts w:ascii="Arial" w:hAnsi="Arial" w:cs="Arial"/>
        </w:rPr>
        <w:tab/>
      </w:r>
      <w:r w:rsidR="00DC1FDD">
        <w:rPr>
          <w:rFonts w:ascii="Arial" w:hAnsi="Arial" w:cs="Arial"/>
        </w:rPr>
        <w:t>It should be noted that t</w:t>
      </w:r>
      <w:r w:rsidR="00575500" w:rsidRPr="00B52D63">
        <w:rPr>
          <w:rFonts w:ascii="Arial" w:hAnsi="Arial" w:cs="Arial"/>
        </w:rPr>
        <w:t>his is</w:t>
      </w:r>
      <w:r w:rsidR="00B47C86" w:rsidRPr="00B52D63">
        <w:rPr>
          <w:rFonts w:ascii="Arial" w:hAnsi="Arial" w:cs="Arial"/>
        </w:rPr>
        <w:t xml:space="preserve"> not a concession</w:t>
      </w:r>
      <w:r w:rsidR="00575500" w:rsidRPr="00B52D63">
        <w:rPr>
          <w:rFonts w:ascii="Arial" w:hAnsi="Arial" w:cs="Arial"/>
        </w:rPr>
        <w:t xml:space="preserve"> contract</w:t>
      </w:r>
      <w:r w:rsidR="00B47C86" w:rsidRPr="00B52D63">
        <w:rPr>
          <w:rFonts w:ascii="Arial" w:hAnsi="Arial" w:cs="Arial"/>
        </w:rPr>
        <w:t>,</w:t>
      </w:r>
      <w:r w:rsidR="00575500" w:rsidRPr="00B52D63">
        <w:rPr>
          <w:rFonts w:ascii="Arial" w:hAnsi="Arial" w:cs="Arial"/>
        </w:rPr>
        <w:t xml:space="preserve"> but</w:t>
      </w:r>
      <w:r w:rsidR="00B47C86" w:rsidRPr="00B52D63">
        <w:rPr>
          <w:rFonts w:ascii="Arial" w:hAnsi="Arial" w:cs="Arial"/>
        </w:rPr>
        <w:t xml:space="preserve"> the </w:t>
      </w:r>
      <w:r w:rsidR="00F15E18" w:rsidRPr="00B52D63">
        <w:rPr>
          <w:rFonts w:ascii="Arial" w:hAnsi="Arial" w:cs="Arial"/>
        </w:rPr>
        <w:t xml:space="preserve">current Operations and Maintenance </w:t>
      </w:r>
      <w:r w:rsidR="00B47C86" w:rsidRPr="00B52D63">
        <w:rPr>
          <w:rFonts w:ascii="Arial" w:hAnsi="Arial" w:cs="Arial"/>
        </w:rPr>
        <w:t xml:space="preserve">contract started </w:t>
      </w:r>
      <w:r w:rsidR="00575500" w:rsidRPr="00B52D63">
        <w:rPr>
          <w:rFonts w:ascii="Arial" w:hAnsi="Arial" w:cs="Arial"/>
        </w:rPr>
        <w:t>o</w:t>
      </w:r>
      <w:r w:rsidR="00B47C86" w:rsidRPr="00B52D63">
        <w:rPr>
          <w:rFonts w:ascii="Arial" w:hAnsi="Arial" w:cs="Arial"/>
        </w:rPr>
        <w:t>n</w:t>
      </w:r>
      <w:r w:rsidR="00575500" w:rsidRPr="00B52D63">
        <w:rPr>
          <w:rFonts w:ascii="Arial" w:hAnsi="Arial" w:cs="Arial"/>
        </w:rPr>
        <w:t xml:space="preserve"> 01</w:t>
      </w:r>
      <w:r w:rsidR="00B47C86" w:rsidRPr="00B52D63">
        <w:rPr>
          <w:rFonts w:ascii="Arial" w:hAnsi="Arial" w:cs="Arial"/>
        </w:rPr>
        <w:t xml:space="preserve"> February 2015</w:t>
      </w:r>
      <w:r w:rsidR="00575500" w:rsidRPr="00B52D63">
        <w:rPr>
          <w:rFonts w:ascii="Arial" w:hAnsi="Arial" w:cs="Arial"/>
        </w:rPr>
        <w:t>.</w:t>
      </w:r>
    </w:p>
    <w:p w:rsidR="00D32EB3" w:rsidRPr="00B52D63" w:rsidRDefault="00D32EB3" w:rsidP="00DC1FDD">
      <w:pPr>
        <w:ind w:left="567" w:hanging="567"/>
        <w:jc w:val="both"/>
        <w:rPr>
          <w:rFonts w:ascii="Arial" w:hAnsi="Arial" w:cs="Arial"/>
        </w:rPr>
      </w:pPr>
      <w:r w:rsidRPr="00B52D63">
        <w:rPr>
          <w:rFonts w:ascii="Arial" w:hAnsi="Arial" w:cs="Arial"/>
        </w:rPr>
        <w:t xml:space="preserve">(f) </w:t>
      </w:r>
      <w:r w:rsidR="005C1DBB">
        <w:rPr>
          <w:rFonts w:ascii="Arial" w:hAnsi="Arial" w:cs="Arial"/>
        </w:rPr>
        <w:tab/>
      </w:r>
      <w:r w:rsidR="00B47C86" w:rsidRPr="00B52D63">
        <w:rPr>
          <w:rFonts w:ascii="Arial" w:hAnsi="Arial" w:cs="Arial"/>
        </w:rPr>
        <w:t>The contract was awarded for a 3 year period, with an option to extend for a further 2 years.</w:t>
      </w:r>
    </w:p>
    <w:p w:rsidR="00D32EB3" w:rsidRPr="00B52D63" w:rsidRDefault="00575500" w:rsidP="00DC1FDD">
      <w:pPr>
        <w:ind w:left="567" w:hanging="567"/>
        <w:jc w:val="both"/>
        <w:rPr>
          <w:rFonts w:ascii="Arial" w:hAnsi="Arial" w:cs="Arial"/>
        </w:rPr>
      </w:pPr>
      <w:r w:rsidRPr="00B52D63">
        <w:rPr>
          <w:rFonts w:ascii="Arial" w:hAnsi="Arial" w:cs="Arial"/>
        </w:rPr>
        <w:t>(g)</w:t>
      </w:r>
      <w:r w:rsidR="005C1DBB">
        <w:rPr>
          <w:rFonts w:ascii="Arial" w:hAnsi="Arial" w:cs="Arial"/>
        </w:rPr>
        <w:tab/>
      </w:r>
      <w:r w:rsidR="00DC1FDD">
        <w:rPr>
          <w:rFonts w:ascii="Arial" w:hAnsi="Arial" w:cs="Arial"/>
        </w:rPr>
        <w:t>Not applicable</w:t>
      </w:r>
    </w:p>
    <w:p w:rsidR="00B47C86" w:rsidRPr="00B52D63" w:rsidRDefault="00D32EB3" w:rsidP="00DC1FDD">
      <w:pPr>
        <w:ind w:left="567" w:hanging="567"/>
        <w:jc w:val="both"/>
        <w:rPr>
          <w:rFonts w:ascii="Arial" w:hAnsi="Arial" w:cs="Arial"/>
        </w:rPr>
      </w:pPr>
      <w:r w:rsidRPr="00B52D63">
        <w:rPr>
          <w:rFonts w:ascii="Arial" w:hAnsi="Arial" w:cs="Arial"/>
        </w:rPr>
        <w:lastRenderedPageBreak/>
        <w:t xml:space="preserve">(h) </w:t>
      </w:r>
      <w:r w:rsidR="00DC1FDD">
        <w:rPr>
          <w:rFonts w:ascii="Arial" w:hAnsi="Arial" w:cs="Arial"/>
        </w:rPr>
        <w:tab/>
      </w:r>
      <w:r w:rsidR="008452D1" w:rsidRPr="00B52D63">
        <w:rPr>
          <w:rFonts w:ascii="Arial" w:hAnsi="Arial" w:cs="Arial"/>
        </w:rPr>
        <w:t>The</w:t>
      </w:r>
      <w:r w:rsidR="00B47C86" w:rsidRPr="00B52D63">
        <w:rPr>
          <w:rFonts w:ascii="Arial" w:hAnsi="Arial" w:cs="Arial"/>
        </w:rPr>
        <w:t xml:space="preserve"> Huguenot Toll Plaza and Tunnel</w:t>
      </w:r>
      <w:r w:rsidR="007D5B18" w:rsidRPr="00B52D63">
        <w:rPr>
          <w:rFonts w:ascii="Arial" w:hAnsi="Arial" w:cs="Arial"/>
        </w:rPr>
        <w:t xml:space="preserve"> </w:t>
      </w:r>
      <w:r w:rsidR="008452D1" w:rsidRPr="00B52D63">
        <w:rPr>
          <w:rFonts w:ascii="Arial" w:hAnsi="Arial" w:cs="Arial"/>
        </w:rPr>
        <w:t xml:space="preserve">is part of the </w:t>
      </w:r>
      <w:r w:rsidR="00C11932" w:rsidRPr="00B52D63">
        <w:rPr>
          <w:rFonts w:ascii="Arial" w:hAnsi="Arial" w:cs="Arial"/>
        </w:rPr>
        <w:t>SANRAL</w:t>
      </w:r>
      <w:r w:rsidR="00DC1FDD">
        <w:rPr>
          <w:rFonts w:ascii="Arial" w:hAnsi="Arial" w:cs="Arial"/>
        </w:rPr>
        <w:t xml:space="preserve"> </w:t>
      </w:r>
      <w:r w:rsidR="007D5B18" w:rsidRPr="00B52D63">
        <w:rPr>
          <w:rFonts w:ascii="Arial" w:hAnsi="Arial" w:cs="Arial"/>
        </w:rPr>
        <w:t>Toll Portfolio</w:t>
      </w:r>
      <w:r w:rsidR="00B47C86" w:rsidRPr="00B52D63">
        <w:rPr>
          <w:rFonts w:ascii="Arial" w:hAnsi="Arial" w:cs="Arial"/>
        </w:rPr>
        <w:t xml:space="preserve">. </w:t>
      </w:r>
      <w:r w:rsidR="00C11932" w:rsidRPr="00B52D63">
        <w:rPr>
          <w:rFonts w:ascii="Arial" w:hAnsi="Arial" w:cs="Arial"/>
        </w:rPr>
        <w:t xml:space="preserve">Details of bonds issued in the capital markets </w:t>
      </w:r>
      <w:r w:rsidR="00967303" w:rsidRPr="00B52D63">
        <w:rPr>
          <w:rFonts w:ascii="Arial" w:hAnsi="Arial" w:cs="Arial"/>
        </w:rPr>
        <w:t>to fund the Portfolio</w:t>
      </w:r>
      <w:r w:rsidR="00B52D63">
        <w:rPr>
          <w:rFonts w:ascii="Arial" w:hAnsi="Arial" w:cs="Arial"/>
        </w:rPr>
        <w:t xml:space="preserve"> </w:t>
      </w:r>
      <w:r w:rsidR="00C11932" w:rsidRPr="00B52D63">
        <w:rPr>
          <w:rFonts w:ascii="Arial" w:hAnsi="Arial" w:cs="Arial"/>
        </w:rPr>
        <w:t>with each bonds corresponding</w:t>
      </w:r>
      <w:r w:rsidR="008867C2" w:rsidRPr="00B52D63">
        <w:rPr>
          <w:rFonts w:ascii="Arial" w:hAnsi="Arial" w:cs="Arial"/>
        </w:rPr>
        <w:t xml:space="preserve"> coupon rate is disclosed in the </w:t>
      </w:r>
      <w:r w:rsidR="00B47C86" w:rsidRPr="00B52D63">
        <w:rPr>
          <w:rFonts w:ascii="Arial" w:hAnsi="Arial" w:cs="Arial"/>
        </w:rPr>
        <w:t>SANRAL</w:t>
      </w:r>
      <w:r w:rsidR="008867C2" w:rsidRPr="00B52D63">
        <w:rPr>
          <w:rFonts w:ascii="Arial" w:hAnsi="Arial" w:cs="Arial"/>
        </w:rPr>
        <w:t xml:space="preserve"> fi</w:t>
      </w:r>
      <w:r w:rsidR="00967303" w:rsidRPr="00B52D63">
        <w:rPr>
          <w:rFonts w:ascii="Arial" w:hAnsi="Arial" w:cs="Arial"/>
        </w:rPr>
        <w:t>nancial statements.</w:t>
      </w:r>
    </w:p>
    <w:p w:rsidR="00B47C86" w:rsidRPr="00B52D63" w:rsidRDefault="00B47C86" w:rsidP="00B52D63">
      <w:pPr>
        <w:jc w:val="both"/>
        <w:rPr>
          <w:rFonts w:ascii="Arial" w:hAnsi="Arial" w:cs="Arial"/>
        </w:rPr>
      </w:pPr>
    </w:p>
    <w:sectPr w:rsidR="00B47C86" w:rsidRPr="00B52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B3"/>
    <w:rsid w:val="000663A4"/>
    <w:rsid w:val="00080976"/>
    <w:rsid w:val="00295FFA"/>
    <w:rsid w:val="003042D3"/>
    <w:rsid w:val="00342113"/>
    <w:rsid w:val="0046470C"/>
    <w:rsid w:val="00575500"/>
    <w:rsid w:val="005C1DBB"/>
    <w:rsid w:val="007A15F8"/>
    <w:rsid w:val="007B0008"/>
    <w:rsid w:val="007D0D5D"/>
    <w:rsid w:val="007D25A8"/>
    <w:rsid w:val="007D5B18"/>
    <w:rsid w:val="008452D1"/>
    <w:rsid w:val="008811D8"/>
    <w:rsid w:val="008867C2"/>
    <w:rsid w:val="00952C5A"/>
    <w:rsid w:val="00967303"/>
    <w:rsid w:val="00B47C86"/>
    <w:rsid w:val="00B52D63"/>
    <w:rsid w:val="00C11932"/>
    <w:rsid w:val="00C63104"/>
    <w:rsid w:val="00D32EB3"/>
    <w:rsid w:val="00D505CE"/>
    <w:rsid w:val="00DC1FDD"/>
    <w:rsid w:val="00F15E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F15E18"/>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008"/>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rsid w:val="00F15E18"/>
    <w:rPr>
      <w:rFonts w:ascii="Arial" w:eastAsia="Times New Roman" w:hAnsi="Arial" w:cs="Times New Roman"/>
      <w:b/>
      <w:bCs/>
      <w:sz w:val="24"/>
      <w:szCs w:val="24"/>
      <w:u w:val="single"/>
      <w:lang w:val="x-none" w:eastAsia="x-none"/>
    </w:rPr>
  </w:style>
  <w:style w:type="paragraph" w:styleId="BalloonText">
    <w:name w:val="Balloon Text"/>
    <w:basedOn w:val="Normal"/>
    <w:link w:val="BalloonTextChar"/>
    <w:uiPriority w:val="99"/>
    <w:semiHidden/>
    <w:unhideWhenUsed/>
    <w:rsid w:val="00952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C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F15E18"/>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008"/>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rsid w:val="00F15E18"/>
    <w:rPr>
      <w:rFonts w:ascii="Arial" w:eastAsia="Times New Roman" w:hAnsi="Arial" w:cs="Times New Roman"/>
      <w:b/>
      <w:bCs/>
      <w:sz w:val="24"/>
      <w:szCs w:val="24"/>
      <w:u w:val="single"/>
      <w:lang w:val="x-none" w:eastAsia="x-none"/>
    </w:rPr>
  </w:style>
  <w:style w:type="paragraph" w:styleId="BalloonText">
    <w:name w:val="Balloon Text"/>
    <w:basedOn w:val="Normal"/>
    <w:link w:val="BalloonTextChar"/>
    <w:uiPriority w:val="99"/>
    <w:semiHidden/>
    <w:unhideWhenUsed/>
    <w:rsid w:val="00952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SANRAL</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Vinello-Lippert (WR)</dc:creator>
  <cp:lastModifiedBy>MotenaP</cp:lastModifiedBy>
  <cp:revision>2</cp:revision>
  <cp:lastPrinted>2017-05-31T12:01:00Z</cp:lastPrinted>
  <dcterms:created xsi:type="dcterms:W3CDTF">2017-06-05T09:19:00Z</dcterms:created>
  <dcterms:modified xsi:type="dcterms:W3CDTF">2017-06-05T09:19:00Z</dcterms:modified>
</cp:coreProperties>
</file>