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9A2A1B">
        <w:rPr>
          <w:rFonts w:ascii="Arial" w:hAnsi="Arial" w:cs="Arial"/>
          <w:b/>
          <w:sz w:val="24"/>
          <w:szCs w:val="24"/>
        </w:rPr>
        <w:t>1417</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9A2A1B">
        <w:rPr>
          <w:rFonts w:ascii="Arial" w:eastAsia="Times New Roman" w:hAnsi="Arial" w:cs="Arial"/>
          <w:b/>
          <w:lang w:val="en-GB"/>
        </w:rPr>
        <w:t>2</w:t>
      </w:r>
      <w:r w:rsidR="00C867C5">
        <w:rPr>
          <w:rFonts w:ascii="Arial" w:eastAsia="Times New Roman" w:hAnsi="Arial" w:cs="Arial"/>
          <w:b/>
          <w:lang w:val="en-GB"/>
        </w:rPr>
        <w:t>2</w:t>
      </w:r>
      <w:r w:rsidR="009A2A1B">
        <w:rPr>
          <w:rFonts w:ascii="Arial" w:eastAsia="Times New Roman" w:hAnsi="Arial" w:cs="Arial"/>
          <w:b/>
          <w:lang w:val="en-GB"/>
        </w:rPr>
        <w:t xml:space="preserve"> APRIL</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9A2A1B">
        <w:rPr>
          <w:rFonts w:ascii="Arial" w:eastAsia="Times New Roman" w:hAnsi="Arial" w:cs="Arial"/>
          <w:b/>
          <w:lang w:val="en-GB"/>
        </w:rPr>
        <w:t>1</w:t>
      </w:r>
      <w:r w:rsidR="00C867C5">
        <w:rPr>
          <w:rFonts w:ascii="Arial" w:eastAsia="Times New Roman" w:hAnsi="Arial" w:cs="Arial"/>
          <w:b/>
          <w:lang w:val="en-GB"/>
        </w:rPr>
        <w:t>4</w:t>
      </w:r>
    </w:p>
    <w:p w:rsidR="009A2A1B" w:rsidRDefault="009A2A1B" w:rsidP="001D47F1">
      <w:pPr>
        <w:spacing w:after="0" w:line="240" w:lineRule="auto"/>
        <w:contextualSpacing/>
        <w:jc w:val="both"/>
        <w:rPr>
          <w:rFonts w:ascii="Arial" w:eastAsia="Calibri" w:hAnsi="Arial" w:cs="Arial"/>
          <w:b/>
          <w:bCs/>
          <w:sz w:val="24"/>
          <w:szCs w:val="24"/>
        </w:rPr>
      </w:pPr>
    </w:p>
    <w:p w:rsidR="009A2A1B" w:rsidRPr="009A2A1B" w:rsidRDefault="009A2A1B" w:rsidP="001D47F1">
      <w:pPr>
        <w:spacing w:after="0" w:line="240" w:lineRule="auto"/>
        <w:contextualSpacing/>
        <w:jc w:val="both"/>
        <w:rPr>
          <w:rFonts w:ascii="Arial" w:eastAsia="Calibri" w:hAnsi="Arial" w:cs="Arial"/>
          <w:sz w:val="24"/>
          <w:szCs w:val="24"/>
        </w:rPr>
      </w:pPr>
      <w:r w:rsidRPr="009A2A1B">
        <w:rPr>
          <w:rFonts w:ascii="Arial" w:eastAsia="Calibri" w:hAnsi="Arial" w:cs="Arial"/>
          <w:b/>
          <w:bCs/>
          <w:sz w:val="24"/>
          <w:szCs w:val="24"/>
        </w:rPr>
        <w:t xml:space="preserve">Ms Z </w:t>
      </w:r>
      <w:proofErr w:type="spellStart"/>
      <w:r w:rsidRPr="009A2A1B">
        <w:rPr>
          <w:rFonts w:ascii="Arial" w:eastAsia="Calibri" w:hAnsi="Arial" w:cs="Arial"/>
          <w:b/>
          <w:bCs/>
          <w:sz w:val="24"/>
          <w:szCs w:val="24"/>
        </w:rPr>
        <w:t>Majozi</w:t>
      </w:r>
      <w:proofErr w:type="spellEnd"/>
      <w:r w:rsidRPr="009A2A1B">
        <w:rPr>
          <w:rFonts w:ascii="Arial" w:eastAsia="Calibri" w:hAnsi="Arial" w:cs="Arial"/>
          <w:b/>
          <w:bCs/>
          <w:sz w:val="24"/>
          <w:szCs w:val="24"/>
        </w:rPr>
        <w:t xml:space="preserve"> (IFP) to ask the Minister of Communications and Digital Technologies: </w:t>
      </w:r>
    </w:p>
    <w:p w:rsidR="009A2A1B" w:rsidRDefault="009A2A1B" w:rsidP="001D47F1">
      <w:pPr>
        <w:spacing w:after="0" w:line="240" w:lineRule="auto"/>
        <w:ind w:right="26"/>
        <w:contextualSpacing/>
        <w:jc w:val="both"/>
        <w:rPr>
          <w:rFonts w:ascii="Arial" w:eastAsia="Calibri" w:hAnsi="Arial" w:cs="Arial"/>
          <w:sz w:val="24"/>
          <w:szCs w:val="24"/>
        </w:rPr>
      </w:pPr>
    </w:p>
    <w:p w:rsidR="009A2A1B" w:rsidRDefault="009A2A1B" w:rsidP="003F160D">
      <w:pPr>
        <w:spacing w:before="240" w:after="0" w:line="240" w:lineRule="auto"/>
        <w:ind w:right="28"/>
        <w:jc w:val="both"/>
        <w:rPr>
          <w:rFonts w:ascii="Arial" w:eastAsia="Calibri" w:hAnsi="Arial" w:cs="Arial"/>
          <w:sz w:val="24"/>
          <w:szCs w:val="24"/>
        </w:rPr>
      </w:pPr>
      <w:r w:rsidRPr="009A2A1B">
        <w:rPr>
          <w:rFonts w:ascii="Arial" w:eastAsia="Calibri" w:hAnsi="Arial" w:cs="Arial"/>
          <w:sz w:val="24"/>
          <w:szCs w:val="24"/>
        </w:rPr>
        <w:t>With reference to the final switch-off date for analogue that was extended to 30 June 2022, what is the detailed status update on the (a) current progress in this regard and (b) progress of (</w:t>
      </w:r>
      <w:proofErr w:type="spellStart"/>
      <w:r w:rsidRPr="009A2A1B">
        <w:rPr>
          <w:rFonts w:ascii="Arial" w:eastAsia="Calibri" w:hAnsi="Arial" w:cs="Arial"/>
          <w:sz w:val="24"/>
          <w:szCs w:val="24"/>
        </w:rPr>
        <w:t>i</w:t>
      </w:r>
      <w:proofErr w:type="spellEnd"/>
      <w:r w:rsidRPr="009A2A1B">
        <w:rPr>
          <w:rFonts w:ascii="Arial" w:eastAsia="Calibri" w:hAnsi="Arial" w:cs="Arial"/>
          <w:sz w:val="24"/>
          <w:szCs w:val="24"/>
        </w:rPr>
        <w:t>) applications and (ii) registrations for the government-subsidised set-top boxes?      </w:t>
      </w:r>
    </w:p>
    <w:p w:rsidR="009A2A1B" w:rsidRPr="009A2A1B" w:rsidRDefault="009A2A1B" w:rsidP="001D47F1">
      <w:pPr>
        <w:spacing w:after="0" w:line="240" w:lineRule="auto"/>
        <w:ind w:right="26"/>
        <w:contextualSpacing/>
        <w:jc w:val="right"/>
        <w:rPr>
          <w:rFonts w:ascii="Arial" w:eastAsia="Calibri" w:hAnsi="Arial" w:cs="Arial"/>
          <w:sz w:val="24"/>
          <w:szCs w:val="24"/>
        </w:rPr>
      </w:pPr>
      <w:r w:rsidRPr="009A2A1B">
        <w:rPr>
          <w:rFonts w:ascii="Arial" w:eastAsia="Calibri" w:hAnsi="Arial" w:cs="Arial"/>
          <w:sz w:val="24"/>
          <w:szCs w:val="24"/>
        </w:rPr>
        <w:t xml:space="preserve"> NW1734E</w:t>
      </w:r>
    </w:p>
    <w:p w:rsidR="00DC2A8C" w:rsidRDefault="00DC2A8C" w:rsidP="001D47F1">
      <w:pPr>
        <w:shd w:val="clear" w:color="auto" w:fill="FFFFFF"/>
        <w:tabs>
          <w:tab w:val="left" w:pos="4408"/>
        </w:tabs>
        <w:spacing w:after="0" w:line="240" w:lineRule="auto"/>
        <w:contextualSpacing/>
        <w:jc w:val="both"/>
        <w:rPr>
          <w:rFonts w:ascii="Arial" w:eastAsia="Calibri" w:hAnsi="Arial" w:cs="Arial"/>
          <w:b/>
          <w:sz w:val="24"/>
          <w:szCs w:val="24"/>
        </w:rPr>
      </w:pPr>
      <w:r w:rsidRPr="00DB3BE5">
        <w:rPr>
          <w:rFonts w:ascii="Arial" w:eastAsia="Calibri" w:hAnsi="Arial" w:cs="Arial"/>
          <w:b/>
          <w:sz w:val="24"/>
          <w:szCs w:val="24"/>
        </w:rPr>
        <w:t>REPLY:</w:t>
      </w:r>
    </w:p>
    <w:p w:rsidR="001D47F1" w:rsidRPr="00DB3BE5" w:rsidRDefault="001D47F1" w:rsidP="001D47F1">
      <w:pPr>
        <w:shd w:val="clear" w:color="auto" w:fill="FFFFFF"/>
        <w:tabs>
          <w:tab w:val="left" w:pos="4408"/>
        </w:tabs>
        <w:spacing w:after="0" w:line="240" w:lineRule="auto"/>
        <w:contextualSpacing/>
        <w:jc w:val="both"/>
        <w:rPr>
          <w:rFonts w:ascii="Arial" w:eastAsia="Calibri" w:hAnsi="Arial" w:cs="Arial"/>
          <w:b/>
          <w:sz w:val="24"/>
          <w:szCs w:val="24"/>
        </w:rPr>
      </w:pPr>
    </w:p>
    <w:p w:rsidR="00DC2A8C" w:rsidRDefault="00DC2A8C" w:rsidP="001D47F1">
      <w:pPr>
        <w:shd w:val="clear" w:color="auto" w:fill="FFFFFF"/>
        <w:tabs>
          <w:tab w:val="left" w:pos="4408"/>
        </w:tabs>
        <w:spacing w:after="0" w:line="240" w:lineRule="auto"/>
        <w:contextualSpacing/>
        <w:jc w:val="both"/>
        <w:rPr>
          <w:rFonts w:ascii="Arial" w:eastAsia="Calibri" w:hAnsi="Arial" w:cs="Arial"/>
          <w:b/>
          <w:bCs/>
          <w:sz w:val="24"/>
          <w:szCs w:val="24"/>
        </w:rPr>
      </w:pPr>
      <w:r w:rsidRPr="00DB3BE5">
        <w:rPr>
          <w:rFonts w:ascii="Arial" w:eastAsia="Calibri" w:hAnsi="Arial" w:cs="Arial"/>
          <w:b/>
          <w:bCs/>
          <w:sz w:val="24"/>
          <w:szCs w:val="24"/>
        </w:rPr>
        <w:t>I have been advised by the</w:t>
      </w:r>
      <w:r w:rsidR="0080092D" w:rsidRPr="00DB3BE5">
        <w:rPr>
          <w:rFonts w:ascii="Arial" w:eastAsia="Calibri" w:hAnsi="Arial" w:cs="Arial"/>
          <w:b/>
          <w:bCs/>
          <w:sz w:val="24"/>
          <w:szCs w:val="24"/>
        </w:rPr>
        <w:t xml:space="preserve"> </w:t>
      </w:r>
      <w:r w:rsidR="009A2A1B">
        <w:rPr>
          <w:rFonts w:ascii="Arial" w:eastAsia="Calibri" w:hAnsi="Arial" w:cs="Arial"/>
          <w:b/>
          <w:bCs/>
          <w:sz w:val="24"/>
          <w:szCs w:val="24"/>
        </w:rPr>
        <w:t xml:space="preserve">Department </w:t>
      </w:r>
      <w:r w:rsidRPr="00DB3BE5">
        <w:rPr>
          <w:rFonts w:ascii="Arial" w:eastAsia="Calibri" w:hAnsi="Arial" w:cs="Arial"/>
          <w:b/>
          <w:bCs/>
          <w:sz w:val="24"/>
          <w:szCs w:val="24"/>
        </w:rPr>
        <w:t>as follows:</w:t>
      </w:r>
    </w:p>
    <w:p w:rsidR="001D47F1" w:rsidRPr="00DB3BE5" w:rsidRDefault="001D47F1" w:rsidP="001D47F1">
      <w:pPr>
        <w:shd w:val="clear" w:color="auto" w:fill="FFFFFF"/>
        <w:tabs>
          <w:tab w:val="left" w:pos="4408"/>
        </w:tabs>
        <w:spacing w:after="0" w:line="240" w:lineRule="auto"/>
        <w:contextualSpacing/>
        <w:jc w:val="both"/>
        <w:rPr>
          <w:rFonts w:ascii="Arial" w:eastAsia="Calibri" w:hAnsi="Arial" w:cs="Arial"/>
          <w:b/>
          <w:bCs/>
          <w:sz w:val="24"/>
          <w:szCs w:val="24"/>
        </w:rPr>
      </w:pPr>
    </w:p>
    <w:p w:rsidR="00123AEC" w:rsidRPr="00A34800" w:rsidRDefault="002B31E3" w:rsidP="00A34800">
      <w:pPr>
        <w:numPr>
          <w:ilvl w:val="0"/>
          <w:numId w:val="48"/>
        </w:numPr>
        <w:spacing w:before="240" w:after="0" w:line="240" w:lineRule="auto"/>
        <w:ind w:right="26"/>
        <w:jc w:val="both"/>
        <w:rPr>
          <w:rFonts w:ascii="Arial" w:eastAsia="Times New Roman" w:hAnsi="Arial" w:cs="Arial"/>
          <w:sz w:val="24"/>
          <w:szCs w:val="24"/>
        </w:rPr>
      </w:pPr>
      <w:r>
        <w:rPr>
          <w:rFonts w:ascii="Arial" w:eastAsia="Times New Roman" w:hAnsi="Arial" w:cs="Arial"/>
          <w:sz w:val="24"/>
          <w:szCs w:val="24"/>
        </w:rPr>
        <w:t>As per the court judgement</w:t>
      </w:r>
      <w:r w:rsidR="00C200B6">
        <w:rPr>
          <w:rFonts w:ascii="Arial" w:eastAsia="Times New Roman" w:hAnsi="Arial" w:cs="Arial"/>
          <w:sz w:val="24"/>
          <w:szCs w:val="24"/>
        </w:rPr>
        <w:t>,</w:t>
      </w:r>
      <w:r>
        <w:rPr>
          <w:rFonts w:ascii="Arial" w:eastAsia="Times New Roman" w:hAnsi="Arial" w:cs="Arial"/>
          <w:sz w:val="24"/>
          <w:szCs w:val="24"/>
        </w:rPr>
        <w:t xml:space="preserve"> the department needs to conclude 100% installations by 30 June 2022</w:t>
      </w:r>
      <w:r w:rsidR="00C200B6">
        <w:rPr>
          <w:rFonts w:ascii="Arial" w:eastAsia="Times New Roman" w:hAnsi="Arial" w:cs="Arial"/>
          <w:sz w:val="24"/>
          <w:szCs w:val="24"/>
        </w:rPr>
        <w:t>,</w:t>
      </w:r>
      <w:r>
        <w:rPr>
          <w:rFonts w:ascii="Arial" w:eastAsia="Times New Roman" w:hAnsi="Arial" w:cs="Arial"/>
          <w:sz w:val="24"/>
          <w:szCs w:val="24"/>
        </w:rPr>
        <w:t xml:space="preserve"> for </w:t>
      </w:r>
      <w:r w:rsidR="00C200B6">
        <w:rPr>
          <w:rFonts w:ascii="Arial" w:eastAsia="Times New Roman" w:hAnsi="Arial" w:cs="Arial"/>
          <w:sz w:val="24"/>
          <w:szCs w:val="24"/>
        </w:rPr>
        <w:t>those</w:t>
      </w:r>
      <w:r>
        <w:rPr>
          <w:rFonts w:ascii="Arial" w:eastAsia="Times New Roman" w:hAnsi="Arial" w:cs="Arial"/>
          <w:sz w:val="24"/>
          <w:szCs w:val="24"/>
        </w:rPr>
        <w:t xml:space="preserve"> who</w:t>
      </w:r>
      <w:r w:rsidR="00C200B6">
        <w:rPr>
          <w:rFonts w:ascii="Arial" w:eastAsia="Times New Roman" w:hAnsi="Arial" w:cs="Arial"/>
          <w:sz w:val="24"/>
          <w:szCs w:val="24"/>
        </w:rPr>
        <w:t xml:space="preserve"> have</w:t>
      </w:r>
      <w:r>
        <w:rPr>
          <w:rFonts w:ascii="Arial" w:eastAsia="Times New Roman" w:hAnsi="Arial" w:cs="Arial"/>
          <w:sz w:val="24"/>
          <w:szCs w:val="24"/>
        </w:rPr>
        <w:t xml:space="preserve"> registered before 31 October 2021. </w:t>
      </w:r>
      <w:r w:rsidR="00A34800">
        <w:rPr>
          <w:rFonts w:ascii="Arial" w:eastAsia="Times New Roman" w:hAnsi="Arial" w:cs="Arial"/>
          <w:sz w:val="24"/>
          <w:szCs w:val="24"/>
        </w:rPr>
        <w:t xml:space="preserve"> </w:t>
      </w:r>
      <w:r w:rsidR="00123AEC" w:rsidRPr="00626DA5">
        <w:rPr>
          <w:rFonts w:ascii="Arial" w:eastAsia="Times New Roman" w:hAnsi="Arial" w:cs="Arial"/>
          <w:sz w:val="24"/>
          <w:szCs w:val="24"/>
        </w:rPr>
        <w:t>The numbers that were due for installations by 30 June 2022 as per Gauteng High Court judgement were completed by the set date except for 106, 571 in KZN and Eastern Cape due to the impact of the floods.</w:t>
      </w:r>
    </w:p>
    <w:p w:rsidR="001D47F1" w:rsidRPr="00626DA5" w:rsidRDefault="009A2A1B" w:rsidP="001D47F1">
      <w:pPr>
        <w:numPr>
          <w:ilvl w:val="0"/>
          <w:numId w:val="48"/>
        </w:numPr>
        <w:spacing w:before="240" w:after="0" w:line="240" w:lineRule="auto"/>
        <w:ind w:right="26"/>
        <w:jc w:val="both"/>
        <w:rPr>
          <w:rFonts w:ascii="Arial" w:eastAsia="Times New Roman" w:hAnsi="Arial" w:cs="Arial"/>
          <w:sz w:val="24"/>
          <w:szCs w:val="24"/>
        </w:rPr>
      </w:pPr>
      <w:r w:rsidRPr="003F160D">
        <w:rPr>
          <w:rFonts w:ascii="Arial" w:eastAsia="Times New Roman" w:hAnsi="Arial" w:cs="Arial"/>
          <w:sz w:val="24"/>
          <w:szCs w:val="24"/>
        </w:rPr>
        <w:t>Applications and approved registrations from 1 Nov</w:t>
      </w:r>
      <w:r w:rsidR="001D47F1" w:rsidRPr="003F160D">
        <w:rPr>
          <w:rFonts w:ascii="Arial" w:eastAsia="Times New Roman" w:hAnsi="Arial" w:cs="Arial"/>
          <w:sz w:val="24"/>
          <w:szCs w:val="24"/>
        </w:rPr>
        <w:t>ember</w:t>
      </w:r>
      <w:r w:rsidR="002B31E3">
        <w:rPr>
          <w:rFonts w:ascii="Arial" w:eastAsia="Times New Roman" w:hAnsi="Arial" w:cs="Arial"/>
          <w:sz w:val="24"/>
          <w:szCs w:val="24"/>
        </w:rPr>
        <w:t xml:space="preserve"> 2021</w:t>
      </w:r>
      <w:r w:rsidR="00C200B6">
        <w:rPr>
          <w:rFonts w:ascii="Arial" w:eastAsia="Times New Roman" w:hAnsi="Arial" w:cs="Arial"/>
          <w:sz w:val="24"/>
          <w:szCs w:val="24"/>
        </w:rPr>
        <w:t xml:space="preserve"> to </w:t>
      </w:r>
      <w:r w:rsidR="00D918BD">
        <w:rPr>
          <w:rFonts w:ascii="Arial" w:eastAsia="Times New Roman" w:hAnsi="Arial" w:cs="Arial"/>
          <w:sz w:val="24"/>
          <w:szCs w:val="24"/>
        </w:rPr>
        <w:t>31</w:t>
      </w:r>
      <w:r w:rsidR="00C200B6">
        <w:rPr>
          <w:rFonts w:ascii="Arial" w:eastAsia="Times New Roman" w:hAnsi="Arial" w:cs="Arial"/>
          <w:sz w:val="24"/>
          <w:szCs w:val="24"/>
        </w:rPr>
        <w:t xml:space="preserve"> March 2022 </w:t>
      </w:r>
      <w:r w:rsidR="00D918BD">
        <w:rPr>
          <w:rFonts w:ascii="Arial" w:eastAsia="Times New Roman" w:hAnsi="Arial" w:cs="Arial"/>
          <w:sz w:val="24"/>
          <w:szCs w:val="24"/>
        </w:rPr>
        <w:t>were</w:t>
      </w:r>
      <w:r w:rsidR="00C200B6">
        <w:rPr>
          <w:rFonts w:ascii="Arial" w:eastAsia="Times New Roman" w:hAnsi="Arial" w:cs="Arial"/>
          <w:sz w:val="24"/>
          <w:szCs w:val="24"/>
        </w:rPr>
        <w:t xml:space="preserve"> 260</w:t>
      </w:r>
      <w:r w:rsidR="00D53722">
        <w:rPr>
          <w:rFonts w:ascii="Arial" w:eastAsia="Times New Roman" w:hAnsi="Arial" w:cs="Arial"/>
          <w:sz w:val="24"/>
          <w:szCs w:val="24"/>
        </w:rPr>
        <w:t xml:space="preserve">, </w:t>
      </w:r>
      <w:r w:rsidR="00C200B6">
        <w:rPr>
          <w:rFonts w:ascii="Arial" w:eastAsia="Times New Roman" w:hAnsi="Arial" w:cs="Arial"/>
          <w:sz w:val="24"/>
          <w:szCs w:val="24"/>
        </w:rPr>
        <w:t xml:space="preserve">868. </w:t>
      </w:r>
      <w:r w:rsidR="00CB3EB3">
        <w:rPr>
          <w:rFonts w:ascii="Arial" w:eastAsia="Times New Roman" w:hAnsi="Arial" w:cs="Arial"/>
          <w:sz w:val="24"/>
          <w:szCs w:val="24"/>
        </w:rPr>
        <w:t xml:space="preserve"> </w:t>
      </w:r>
      <w:r w:rsidR="00D918BD">
        <w:rPr>
          <w:rFonts w:ascii="Arial" w:eastAsia="Times New Roman" w:hAnsi="Arial" w:cs="Arial"/>
          <w:sz w:val="24"/>
          <w:szCs w:val="24"/>
        </w:rPr>
        <w:t xml:space="preserve">Applications </w:t>
      </w:r>
      <w:r w:rsidR="00623610">
        <w:rPr>
          <w:rFonts w:ascii="Arial" w:eastAsia="Times New Roman" w:hAnsi="Arial" w:cs="Arial"/>
          <w:sz w:val="24"/>
          <w:szCs w:val="24"/>
        </w:rPr>
        <w:t xml:space="preserve">received between 1 April 2022 and 30 June 2022 were </w:t>
      </w:r>
      <w:r w:rsidR="00D53722">
        <w:rPr>
          <w:rFonts w:ascii="Arial" w:eastAsia="Times New Roman" w:hAnsi="Arial" w:cs="Arial"/>
          <w:sz w:val="24"/>
          <w:szCs w:val="24"/>
        </w:rPr>
        <w:t>only 49, 385</w:t>
      </w:r>
    </w:p>
    <w:p w:rsidR="00123AEC" w:rsidRPr="00626DA5" w:rsidRDefault="00123AEC" w:rsidP="00626DA5">
      <w:pPr>
        <w:spacing w:before="240" w:after="0" w:line="240" w:lineRule="auto"/>
        <w:ind w:left="360" w:right="26"/>
        <w:jc w:val="both"/>
        <w:rPr>
          <w:rFonts w:ascii="Arial" w:eastAsia="Times New Roman" w:hAnsi="Arial" w:cs="Arial"/>
          <w:sz w:val="24"/>
          <w:szCs w:val="24"/>
        </w:rPr>
      </w:pPr>
      <w:r w:rsidRPr="00626DA5">
        <w:rPr>
          <w:rFonts w:ascii="Arial" w:eastAsia="Times New Roman" w:hAnsi="Arial" w:cs="Arial"/>
          <w:sz w:val="24"/>
          <w:szCs w:val="24"/>
        </w:rPr>
        <w:t xml:space="preserve"> (</w:t>
      </w:r>
      <w:proofErr w:type="spellStart"/>
      <w:r w:rsidRPr="00626DA5">
        <w:rPr>
          <w:rFonts w:ascii="Arial" w:eastAsia="Times New Roman" w:hAnsi="Arial" w:cs="Arial"/>
          <w:sz w:val="24"/>
          <w:szCs w:val="24"/>
        </w:rPr>
        <w:t>i</w:t>
      </w:r>
      <w:proofErr w:type="spellEnd"/>
      <w:r w:rsidRPr="00626DA5">
        <w:rPr>
          <w:rFonts w:ascii="Arial" w:eastAsia="Times New Roman" w:hAnsi="Arial" w:cs="Arial"/>
          <w:sz w:val="24"/>
          <w:szCs w:val="24"/>
        </w:rPr>
        <w:t xml:space="preserve">) At the time of publication of the question, the Gauteng High Court had extended the date for analogue switch off to 30 June 2022. </w:t>
      </w:r>
    </w:p>
    <w:p w:rsidR="00123AEC" w:rsidRPr="00626DA5" w:rsidRDefault="00123AEC" w:rsidP="00626DA5">
      <w:pPr>
        <w:spacing w:before="240" w:after="0" w:line="240" w:lineRule="auto"/>
        <w:ind w:left="360" w:right="26"/>
        <w:jc w:val="both"/>
        <w:rPr>
          <w:rFonts w:ascii="Arial" w:eastAsia="Times New Roman" w:hAnsi="Arial" w:cs="Arial"/>
          <w:sz w:val="24"/>
          <w:szCs w:val="24"/>
        </w:rPr>
      </w:pPr>
      <w:r w:rsidRPr="00626DA5">
        <w:rPr>
          <w:rFonts w:ascii="Arial" w:eastAsia="Times New Roman" w:hAnsi="Arial" w:cs="Arial"/>
          <w:sz w:val="24"/>
          <w:szCs w:val="24"/>
        </w:rPr>
        <w:t xml:space="preserve">(ii) There is no way of knowing the number of households watching TV through analogue TV sets and it is for that reason that government called for those watching TV through analogue and qualifying for government assistance to apply for assistance. In addition, Digital television cannot only be watched through STBs but digital television sets which were already sold in South Africa since 2012. Between 2016 to date, more than 2.6 million Digital TV sets have been sold in </w:t>
      </w:r>
      <w:r w:rsidRPr="00626DA5">
        <w:rPr>
          <w:rFonts w:ascii="Arial" w:eastAsia="Times New Roman" w:hAnsi="Arial" w:cs="Arial"/>
          <w:sz w:val="24"/>
          <w:szCs w:val="24"/>
        </w:rPr>
        <w:lastRenderedPageBreak/>
        <w:t>South Africa and can be deemed majority TV sets in households. Furthermore, government has taken measures to ensure South Africans do not unknowingly buy Analogue TV sets in the market.</w:t>
      </w: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D15D4A">
      <w:footerReference w:type="default" r:id="rId8"/>
      <w:pgSz w:w="11906" w:h="16838"/>
      <w:pgMar w:top="993" w:right="144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58" w:rsidRDefault="00654758" w:rsidP="00D12ACE">
      <w:pPr>
        <w:spacing w:after="0" w:line="240" w:lineRule="auto"/>
      </w:pPr>
      <w:r>
        <w:separator/>
      </w:r>
    </w:p>
  </w:endnote>
  <w:endnote w:type="continuationSeparator" w:id="0">
    <w:p w:rsidR="00654758" w:rsidRDefault="00654758"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C867C5">
      <w:t>1417</w:t>
    </w:r>
    <w:r>
      <w:t>: Hon.</w:t>
    </w:r>
    <w:r w:rsidR="00C867C5">
      <w:t xml:space="preserve"> Z </w:t>
    </w:r>
    <w:proofErr w:type="spellStart"/>
    <w:r w:rsidR="00C867C5">
      <w:t>Majozi</w:t>
    </w:r>
    <w:proofErr w:type="spellEnd"/>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58" w:rsidRDefault="00654758" w:rsidP="00D12ACE">
      <w:pPr>
        <w:spacing w:after="0" w:line="240" w:lineRule="auto"/>
      </w:pPr>
      <w:r>
        <w:separator/>
      </w:r>
    </w:p>
  </w:footnote>
  <w:footnote w:type="continuationSeparator" w:id="0">
    <w:p w:rsidR="00654758" w:rsidRDefault="00654758"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350FA4"/>
    <w:multiLevelType w:val="hybridMultilevel"/>
    <w:tmpl w:val="467693D2"/>
    <w:lvl w:ilvl="0" w:tplc="BDB4539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4">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0A46B8B"/>
    <w:multiLevelType w:val="hybridMultilevel"/>
    <w:tmpl w:val="10FC0862"/>
    <w:lvl w:ilvl="0" w:tplc="9E10629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A5E164A"/>
    <w:multiLevelType w:val="hybridMultilevel"/>
    <w:tmpl w:val="1BA4B0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40">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41">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9"/>
  </w:num>
  <w:num w:numId="3">
    <w:abstractNumId w:val="47"/>
  </w:num>
  <w:num w:numId="4">
    <w:abstractNumId w:val="14"/>
  </w:num>
  <w:num w:numId="5">
    <w:abstractNumId w:val="17"/>
  </w:num>
  <w:num w:numId="6">
    <w:abstractNumId w:val="44"/>
  </w:num>
  <w:num w:numId="7">
    <w:abstractNumId w:val="43"/>
  </w:num>
  <w:num w:numId="8">
    <w:abstractNumId w:val="30"/>
  </w:num>
  <w:num w:numId="9">
    <w:abstractNumId w:val="34"/>
  </w:num>
  <w:num w:numId="10">
    <w:abstractNumId w:val="28"/>
  </w:num>
  <w:num w:numId="11">
    <w:abstractNumId w:val="3"/>
  </w:num>
  <w:num w:numId="12">
    <w:abstractNumId w:val="35"/>
  </w:num>
  <w:num w:numId="13">
    <w:abstractNumId w:val="10"/>
  </w:num>
  <w:num w:numId="14">
    <w:abstractNumId w:val="23"/>
  </w:num>
  <w:num w:numId="15">
    <w:abstractNumId w:val="31"/>
  </w:num>
  <w:num w:numId="16">
    <w:abstractNumId w:val="9"/>
  </w:num>
  <w:num w:numId="17">
    <w:abstractNumId w:val="27"/>
  </w:num>
  <w:num w:numId="18">
    <w:abstractNumId w:val="18"/>
  </w:num>
  <w:num w:numId="19">
    <w:abstractNumId w:val="7"/>
  </w:num>
  <w:num w:numId="20">
    <w:abstractNumId w:val="42"/>
  </w:num>
  <w:num w:numId="21">
    <w:abstractNumId w:val="5"/>
  </w:num>
  <w:num w:numId="22">
    <w:abstractNumId w:val="32"/>
  </w:num>
  <w:num w:numId="23">
    <w:abstractNumId w:val="36"/>
  </w:num>
  <w:num w:numId="24">
    <w:abstractNumId w:val="0"/>
  </w:num>
  <w:num w:numId="25">
    <w:abstractNumId w:val="16"/>
  </w:num>
  <w:num w:numId="26">
    <w:abstractNumId w:val="41"/>
  </w:num>
  <w:num w:numId="27">
    <w:abstractNumId w:val="4"/>
  </w:num>
  <w:num w:numId="28">
    <w:abstractNumId w:val="8"/>
  </w:num>
  <w:num w:numId="29">
    <w:abstractNumId w:val="24"/>
  </w:num>
  <w:num w:numId="30">
    <w:abstractNumId w:val="6"/>
  </w:num>
  <w:num w:numId="31">
    <w:abstractNumId w:val="20"/>
  </w:num>
  <w:num w:numId="32">
    <w:abstractNumId w:val="45"/>
  </w:num>
  <w:num w:numId="33">
    <w:abstractNumId w:val="22"/>
  </w:num>
  <w:num w:numId="34">
    <w:abstractNumId w:val="37"/>
  </w:num>
  <w:num w:numId="35">
    <w:abstractNumId w:val="2"/>
  </w:num>
  <w:num w:numId="36">
    <w:abstractNumId w:val="11"/>
  </w:num>
  <w:num w:numId="37">
    <w:abstractNumId w:val="15"/>
  </w:num>
  <w:num w:numId="38">
    <w:abstractNumId w:val="48"/>
  </w:num>
  <w:num w:numId="39">
    <w:abstractNumId w:val="39"/>
  </w:num>
  <w:num w:numId="40">
    <w:abstractNumId w:val="13"/>
  </w:num>
  <w:num w:numId="41">
    <w:abstractNumId w:val="21"/>
  </w:num>
  <w:num w:numId="42">
    <w:abstractNumId w:val="12"/>
  </w:num>
  <w:num w:numId="43">
    <w:abstractNumId w:val="19"/>
  </w:num>
  <w:num w:numId="44">
    <w:abstractNumId w:val="46"/>
  </w:num>
  <w:num w:numId="45">
    <w:abstractNumId w:val="25"/>
  </w:num>
  <w:num w:numId="46">
    <w:abstractNumId w:val="40"/>
  </w:num>
  <w:num w:numId="47">
    <w:abstractNumId w:val="38"/>
  </w:num>
  <w:num w:numId="48">
    <w:abstractNumId w:val="33"/>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IwNzC1NDMxtbAwMTdW0lEKTi0uzszPAykwrAUAAHiZtCwAAAA="/>
  </w:docVars>
  <w:rsids>
    <w:rsidRoot w:val="00B059F1"/>
    <w:rsid w:val="00000522"/>
    <w:rsid w:val="00045122"/>
    <w:rsid w:val="000678DE"/>
    <w:rsid w:val="000A7337"/>
    <w:rsid w:val="000D0476"/>
    <w:rsid w:val="000E0DA2"/>
    <w:rsid w:val="000F6851"/>
    <w:rsid w:val="0010041B"/>
    <w:rsid w:val="00110F04"/>
    <w:rsid w:val="00120081"/>
    <w:rsid w:val="00123AEC"/>
    <w:rsid w:val="001522C3"/>
    <w:rsid w:val="0015522D"/>
    <w:rsid w:val="001B04EF"/>
    <w:rsid w:val="001C2258"/>
    <w:rsid w:val="001D47F1"/>
    <w:rsid w:val="002034B9"/>
    <w:rsid w:val="00226E9C"/>
    <w:rsid w:val="0023171B"/>
    <w:rsid w:val="002631DB"/>
    <w:rsid w:val="00275399"/>
    <w:rsid w:val="00284C00"/>
    <w:rsid w:val="002869EF"/>
    <w:rsid w:val="00286A2B"/>
    <w:rsid w:val="002B31E3"/>
    <w:rsid w:val="002D78F3"/>
    <w:rsid w:val="002F221C"/>
    <w:rsid w:val="003151A0"/>
    <w:rsid w:val="0036460C"/>
    <w:rsid w:val="00364FA9"/>
    <w:rsid w:val="003A477D"/>
    <w:rsid w:val="003C14E5"/>
    <w:rsid w:val="003D25B5"/>
    <w:rsid w:val="003E3814"/>
    <w:rsid w:val="003F160D"/>
    <w:rsid w:val="0040072F"/>
    <w:rsid w:val="0041565C"/>
    <w:rsid w:val="004171F0"/>
    <w:rsid w:val="0042136B"/>
    <w:rsid w:val="00424AB1"/>
    <w:rsid w:val="00444E06"/>
    <w:rsid w:val="004567D7"/>
    <w:rsid w:val="00461F60"/>
    <w:rsid w:val="00487C40"/>
    <w:rsid w:val="004B0C0A"/>
    <w:rsid w:val="00507EAD"/>
    <w:rsid w:val="00512748"/>
    <w:rsid w:val="00514C23"/>
    <w:rsid w:val="00526570"/>
    <w:rsid w:val="00533291"/>
    <w:rsid w:val="0053334D"/>
    <w:rsid w:val="00536A04"/>
    <w:rsid w:val="005541A8"/>
    <w:rsid w:val="00564F2E"/>
    <w:rsid w:val="005A0D0C"/>
    <w:rsid w:val="005B6B89"/>
    <w:rsid w:val="005C44DE"/>
    <w:rsid w:val="0060662C"/>
    <w:rsid w:val="00623610"/>
    <w:rsid w:val="00626DA5"/>
    <w:rsid w:val="006536EB"/>
    <w:rsid w:val="00654758"/>
    <w:rsid w:val="00683F17"/>
    <w:rsid w:val="006A1FD7"/>
    <w:rsid w:val="006B246A"/>
    <w:rsid w:val="006C2A41"/>
    <w:rsid w:val="00700F48"/>
    <w:rsid w:val="007166F3"/>
    <w:rsid w:val="007178CF"/>
    <w:rsid w:val="00725420"/>
    <w:rsid w:val="00736DF7"/>
    <w:rsid w:val="0075163C"/>
    <w:rsid w:val="0076441D"/>
    <w:rsid w:val="007B5A46"/>
    <w:rsid w:val="007C7571"/>
    <w:rsid w:val="007D00A3"/>
    <w:rsid w:val="0080092D"/>
    <w:rsid w:val="008045B0"/>
    <w:rsid w:val="00820773"/>
    <w:rsid w:val="00823A0E"/>
    <w:rsid w:val="00825AB3"/>
    <w:rsid w:val="00840908"/>
    <w:rsid w:val="00884010"/>
    <w:rsid w:val="008A02CA"/>
    <w:rsid w:val="008B7F73"/>
    <w:rsid w:val="008C40DD"/>
    <w:rsid w:val="008F2676"/>
    <w:rsid w:val="009027AF"/>
    <w:rsid w:val="00905006"/>
    <w:rsid w:val="00990293"/>
    <w:rsid w:val="00997CFD"/>
    <w:rsid w:val="009A0715"/>
    <w:rsid w:val="009A2A1B"/>
    <w:rsid w:val="009A2FE9"/>
    <w:rsid w:val="009A6813"/>
    <w:rsid w:val="009B7D7C"/>
    <w:rsid w:val="009C785D"/>
    <w:rsid w:val="009F7FAA"/>
    <w:rsid w:val="00A05A05"/>
    <w:rsid w:val="00A11CF8"/>
    <w:rsid w:val="00A32A11"/>
    <w:rsid w:val="00A34800"/>
    <w:rsid w:val="00A47510"/>
    <w:rsid w:val="00A66BE8"/>
    <w:rsid w:val="00A70B54"/>
    <w:rsid w:val="00A72352"/>
    <w:rsid w:val="00A956C5"/>
    <w:rsid w:val="00AA50C7"/>
    <w:rsid w:val="00AA7808"/>
    <w:rsid w:val="00AE482D"/>
    <w:rsid w:val="00B029E9"/>
    <w:rsid w:val="00B059F1"/>
    <w:rsid w:val="00B105F3"/>
    <w:rsid w:val="00B16DE0"/>
    <w:rsid w:val="00B2418C"/>
    <w:rsid w:val="00B424E5"/>
    <w:rsid w:val="00B445D3"/>
    <w:rsid w:val="00BA13AF"/>
    <w:rsid w:val="00BE06FA"/>
    <w:rsid w:val="00BF0F05"/>
    <w:rsid w:val="00BF4CB4"/>
    <w:rsid w:val="00C0343E"/>
    <w:rsid w:val="00C1398C"/>
    <w:rsid w:val="00C173BD"/>
    <w:rsid w:val="00C200B6"/>
    <w:rsid w:val="00C27514"/>
    <w:rsid w:val="00C3054E"/>
    <w:rsid w:val="00C867C5"/>
    <w:rsid w:val="00C963DB"/>
    <w:rsid w:val="00CA048C"/>
    <w:rsid w:val="00CB1206"/>
    <w:rsid w:val="00CB1BC5"/>
    <w:rsid w:val="00CB3EB3"/>
    <w:rsid w:val="00CC01B9"/>
    <w:rsid w:val="00D00A41"/>
    <w:rsid w:val="00D12ACE"/>
    <w:rsid w:val="00D15D4A"/>
    <w:rsid w:val="00D46E43"/>
    <w:rsid w:val="00D53722"/>
    <w:rsid w:val="00D84107"/>
    <w:rsid w:val="00D87AAA"/>
    <w:rsid w:val="00D918BD"/>
    <w:rsid w:val="00DA1AAF"/>
    <w:rsid w:val="00DB3BE5"/>
    <w:rsid w:val="00DC2A8C"/>
    <w:rsid w:val="00DC3250"/>
    <w:rsid w:val="00DC6A4E"/>
    <w:rsid w:val="00DD2ADA"/>
    <w:rsid w:val="00DE4A84"/>
    <w:rsid w:val="00DE71BA"/>
    <w:rsid w:val="00DF0150"/>
    <w:rsid w:val="00E16D53"/>
    <w:rsid w:val="00E17538"/>
    <w:rsid w:val="00E72F5D"/>
    <w:rsid w:val="00E918E6"/>
    <w:rsid w:val="00EA6893"/>
    <w:rsid w:val="00EC5855"/>
    <w:rsid w:val="00EC67E0"/>
    <w:rsid w:val="00ED23C0"/>
    <w:rsid w:val="00ED5819"/>
    <w:rsid w:val="00F00A91"/>
    <w:rsid w:val="00F07213"/>
    <w:rsid w:val="00F169E5"/>
    <w:rsid w:val="00F21283"/>
    <w:rsid w:val="00F26B0C"/>
    <w:rsid w:val="00F31C0F"/>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2022-07-22T07:47:00Z</dcterms:created>
  <dcterms:modified xsi:type="dcterms:W3CDTF">2022-07-22T07:47:00Z</dcterms:modified>
</cp:coreProperties>
</file>