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C4" w:rsidRDefault="006F01C4" w:rsidP="006F01C4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</w:p>
    <w:p w:rsidR="006F01C4" w:rsidRDefault="006F01C4" w:rsidP="006F01C4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6F01C4" w:rsidRDefault="006F01C4" w:rsidP="006F01C4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:rsidR="006F01C4" w:rsidRPr="00BF2BB1" w:rsidRDefault="006F01C4" w:rsidP="006F01C4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6F01C4" w:rsidRDefault="006F01C4" w:rsidP="006F01C4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3C1B02">
        <w:rPr>
          <w:rFonts w:ascii="Arial" w:hAnsi="Arial" w:cs="Arial"/>
          <w:b/>
        </w:rPr>
        <w:t>1417.</w:t>
      </w:r>
      <w:r w:rsidRPr="003C1B02">
        <w:rPr>
          <w:rFonts w:ascii="Arial" w:hAnsi="Arial" w:cs="Arial"/>
          <w:b/>
        </w:rPr>
        <w:tab/>
        <w:t>Mrs A M Dreyer (DA) to ask the Minister of Small Business Development:</w:t>
      </w:r>
    </w:p>
    <w:p w:rsidR="006F01C4" w:rsidRPr="003C1B02" w:rsidRDefault="006F01C4" w:rsidP="006F01C4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6F01C4" w:rsidRDefault="006F01C4" w:rsidP="006F01C4">
      <w:pPr>
        <w:spacing w:after="0" w:line="360" w:lineRule="auto"/>
        <w:ind w:left="851"/>
        <w:jc w:val="both"/>
        <w:rPr>
          <w:rFonts w:ascii="Arial" w:hAnsi="Arial" w:cs="Arial"/>
          <w:b/>
        </w:rPr>
      </w:pPr>
      <w:r w:rsidRPr="003C1B02">
        <w:rPr>
          <w:rFonts w:ascii="Arial" w:hAnsi="Arial" w:cs="Arial"/>
          <w:b/>
        </w:rPr>
        <w:t xml:space="preserve">What amount has her department spent on (a) travel, (b) accommodation and (c) subsistence costs for (i) her, (ii) her deputy </w:t>
      </w:r>
      <w:r w:rsidRPr="003C1B02">
        <w:rPr>
          <w:rFonts w:ascii="Arial" w:hAnsi="Arial" w:cs="Arial"/>
          <w:b/>
          <w:lang w:val="af-ZA"/>
        </w:rPr>
        <w:t>and</w:t>
      </w:r>
      <w:r w:rsidRPr="003C1B02">
        <w:rPr>
          <w:rFonts w:ascii="Arial" w:hAnsi="Arial" w:cs="Arial"/>
          <w:b/>
        </w:rPr>
        <w:t xml:space="preserve"> (iii) the respective spokespersons and media liaison officer(s) in the (aa) 2014-15, (bb) 2015-16 an</w:t>
      </w:r>
      <w:r>
        <w:rPr>
          <w:rFonts w:ascii="Arial" w:hAnsi="Arial" w:cs="Arial"/>
          <w:b/>
        </w:rPr>
        <w:t>d (cc) 2016-17 financial years?”</w:t>
      </w:r>
    </w:p>
    <w:p w:rsidR="006F01C4" w:rsidRPr="003C1B02" w:rsidRDefault="006F01C4" w:rsidP="006F01C4">
      <w:pPr>
        <w:spacing w:after="0" w:line="360" w:lineRule="auto"/>
        <w:ind w:left="851" w:hanging="131"/>
        <w:jc w:val="right"/>
        <w:rPr>
          <w:rFonts w:ascii="Arial" w:hAnsi="Arial" w:cs="Arial"/>
          <w:b/>
        </w:rPr>
      </w:pPr>
      <w:r w:rsidRPr="003C1B02">
        <w:rPr>
          <w:rFonts w:ascii="Arial" w:hAnsi="Arial" w:cs="Arial"/>
          <w:b/>
        </w:rPr>
        <w:tab/>
      </w:r>
      <w:r w:rsidRPr="003C1B02">
        <w:rPr>
          <w:rFonts w:ascii="Arial" w:hAnsi="Arial" w:cs="Arial"/>
          <w:b/>
        </w:rPr>
        <w:tab/>
      </w:r>
      <w:r w:rsidRPr="003C1B02">
        <w:rPr>
          <w:rFonts w:ascii="Arial" w:hAnsi="Arial" w:cs="Arial"/>
          <w:b/>
        </w:rPr>
        <w:tab/>
      </w:r>
      <w:r w:rsidRPr="003C1B02">
        <w:rPr>
          <w:rFonts w:ascii="Arial" w:hAnsi="Arial" w:cs="Arial"/>
          <w:b/>
        </w:rPr>
        <w:tab/>
      </w:r>
      <w:r w:rsidRPr="003C1B02">
        <w:rPr>
          <w:rFonts w:ascii="Arial" w:hAnsi="Arial" w:cs="Arial"/>
          <w:b/>
        </w:rPr>
        <w:tab/>
      </w:r>
      <w:r w:rsidRPr="003C1B02">
        <w:rPr>
          <w:rFonts w:ascii="Arial" w:hAnsi="Arial" w:cs="Arial"/>
          <w:b/>
        </w:rPr>
        <w:tab/>
      </w:r>
      <w:r w:rsidRPr="003C1B02">
        <w:rPr>
          <w:rFonts w:ascii="Arial" w:hAnsi="Arial" w:cs="Arial"/>
          <w:b/>
        </w:rPr>
        <w:tab/>
      </w:r>
      <w:r w:rsidRPr="003C1B02">
        <w:rPr>
          <w:rFonts w:ascii="Arial" w:hAnsi="Arial" w:cs="Arial"/>
          <w:b/>
        </w:rPr>
        <w:tab/>
      </w:r>
      <w:r w:rsidRPr="003C1B02">
        <w:rPr>
          <w:rFonts w:ascii="Arial" w:hAnsi="Arial" w:cs="Arial"/>
          <w:b/>
        </w:rPr>
        <w:tab/>
        <w:t>NW1559E</w:t>
      </w:r>
    </w:p>
    <w:p w:rsidR="006F01C4" w:rsidRDefault="006F01C4" w:rsidP="006F01C4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157790">
        <w:rPr>
          <w:rFonts w:ascii="Arial" w:hAnsi="Arial" w:cs="Arial"/>
          <w:b/>
        </w:rPr>
        <w:t>REPLY:</w:t>
      </w:r>
    </w:p>
    <w:p w:rsidR="006F01C4" w:rsidRDefault="006F01C4" w:rsidP="006F01C4">
      <w:pPr>
        <w:spacing w:after="0" w:line="360" w:lineRule="auto"/>
        <w:rPr>
          <w:rFonts w:ascii="Arial" w:eastAsia="Calibri" w:hAnsi="Arial" w:cs="Arial"/>
          <w:b/>
        </w:rPr>
      </w:pPr>
    </w:p>
    <w:p w:rsidR="006F01C4" w:rsidRPr="003C1B02" w:rsidRDefault="006F01C4" w:rsidP="006F01C4">
      <w:pPr>
        <w:spacing w:after="0" w:line="360" w:lineRule="auto"/>
        <w:rPr>
          <w:rFonts w:ascii="Arial" w:eastAsia="Calibri" w:hAnsi="Arial" w:cs="Arial"/>
          <w:b/>
        </w:rPr>
      </w:pPr>
      <w:r w:rsidRPr="003C1B02">
        <w:rPr>
          <w:rFonts w:ascii="Arial" w:eastAsia="Calibri" w:hAnsi="Arial" w:cs="Arial"/>
          <w:b/>
        </w:rPr>
        <w:t>2014/15</w:t>
      </w:r>
    </w:p>
    <w:p w:rsidR="006F01C4" w:rsidRDefault="006F01C4" w:rsidP="006F01C4">
      <w:pPr>
        <w:spacing w:after="0" w:line="360" w:lineRule="auto"/>
        <w:jc w:val="both"/>
        <w:outlineLvl w:val="0"/>
        <w:rPr>
          <w:rFonts w:ascii="Arial" w:eastAsia="Calibri" w:hAnsi="Arial" w:cs="Arial"/>
        </w:rPr>
      </w:pPr>
      <w:r w:rsidRPr="003C1B02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>D</w:t>
      </w:r>
      <w:r w:rsidRPr="003C1B02">
        <w:rPr>
          <w:rFonts w:ascii="Arial" w:eastAsia="Calibri" w:hAnsi="Arial" w:cs="Arial"/>
        </w:rPr>
        <w:t>epartment</w:t>
      </w:r>
      <w:r>
        <w:rPr>
          <w:rFonts w:ascii="Arial" w:eastAsia="Calibri" w:hAnsi="Arial" w:cs="Arial"/>
        </w:rPr>
        <w:t xml:space="preserve"> of Small Business Development (DSBD)</w:t>
      </w:r>
      <w:r w:rsidRPr="003C1B02">
        <w:rPr>
          <w:rFonts w:ascii="Arial" w:eastAsia="Calibri" w:hAnsi="Arial" w:cs="Arial"/>
        </w:rPr>
        <w:t xml:space="preserve"> spent </w:t>
      </w:r>
      <w:r w:rsidRPr="003C1B02">
        <w:rPr>
          <w:rFonts w:ascii="Arial" w:eastAsia="Calibri" w:hAnsi="Arial" w:cs="Arial"/>
          <w:b/>
        </w:rPr>
        <w:t xml:space="preserve">R0.00 </w:t>
      </w:r>
      <w:r w:rsidRPr="003C1B02">
        <w:rPr>
          <w:rFonts w:ascii="Arial" w:eastAsia="Calibri" w:hAnsi="Arial" w:cs="Arial"/>
        </w:rPr>
        <w:t>for (a) travel, (b) accommodation and (c) subsistence costs for the (i) Minister, (ii) Deputy Minister and (iii) the spokesperson in the (bb) 2014-15 financial year.</w:t>
      </w:r>
    </w:p>
    <w:p w:rsidR="006F01C4" w:rsidRPr="003C1B02" w:rsidRDefault="006F01C4" w:rsidP="006F01C4">
      <w:pPr>
        <w:spacing w:after="0" w:line="360" w:lineRule="auto"/>
        <w:jc w:val="both"/>
        <w:outlineLvl w:val="0"/>
        <w:rPr>
          <w:rFonts w:ascii="Arial" w:eastAsia="Calibri" w:hAnsi="Arial" w:cs="Arial"/>
        </w:rPr>
      </w:pPr>
    </w:p>
    <w:p w:rsidR="006F01C4" w:rsidRDefault="006F01C4" w:rsidP="006F01C4">
      <w:pPr>
        <w:spacing w:after="0" w:line="360" w:lineRule="auto"/>
        <w:jc w:val="both"/>
        <w:outlineLvl w:val="0"/>
        <w:rPr>
          <w:rFonts w:ascii="Arial" w:eastAsia="Calibri" w:hAnsi="Arial" w:cs="Arial"/>
        </w:rPr>
      </w:pPr>
      <w:r w:rsidRPr="003C1B02">
        <w:rPr>
          <w:rFonts w:ascii="Arial" w:eastAsia="Calibri" w:hAnsi="Arial" w:cs="Arial"/>
        </w:rPr>
        <w:t xml:space="preserve">For the 2014-15 financial year, DSBD did </w:t>
      </w:r>
      <w:r>
        <w:rPr>
          <w:rFonts w:ascii="Arial" w:eastAsia="Calibri" w:hAnsi="Arial" w:cs="Arial"/>
        </w:rPr>
        <w:t xml:space="preserve">not </w:t>
      </w:r>
      <w:r w:rsidRPr="003C1B02">
        <w:rPr>
          <w:rFonts w:ascii="Arial" w:eastAsia="Calibri" w:hAnsi="Arial" w:cs="Arial"/>
        </w:rPr>
        <w:t xml:space="preserve">have a vote and all expenditure relating to the 2014-15 period was incurred under </w:t>
      </w:r>
      <w:r>
        <w:rPr>
          <w:rFonts w:ascii="Arial" w:eastAsia="Calibri" w:hAnsi="Arial" w:cs="Arial"/>
        </w:rPr>
        <w:t xml:space="preserve">the Department of Trade and Industry </w:t>
      </w:r>
      <w:r w:rsidRPr="00E64271">
        <w:rPr>
          <w:rFonts w:ascii="Arial" w:eastAsia="Calibri" w:hAnsi="Arial" w:cs="Arial"/>
          <w:b/>
        </w:rPr>
        <w:t>(</w:t>
      </w:r>
      <w:r w:rsidRPr="003C1B02">
        <w:rPr>
          <w:rFonts w:ascii="Arial" w:eastAsia="Calibri" w:hAnsi="Arial" w:cs="Arial"/>
          <w:b/>
        </w:rPr>
        <w:t>the dti</w:t>
      </w:r>
      <w:r w:rsidRPr="00E64271">
        <w:rPr>
          <w:rFonts w:ascii="Arial" w:eastAsia="Calibri" w:hAnsi="Arial" w:cs="Arial"/>
          <w:b/>
        </w:rPr>
        <w:t>)</w:t>
      </w:r>
      <w:r w:rsidRPr="003C1B02">
        <w:rPr>
          <w:rFonts w:ascii="Arial" w:eastAsia="Calibri" w:hAnsi="Arial" w:cs="Arial"/>
          <w:b/>
        </w:rPr>
        <w:t xml:space="preserve"> </w:t>
      </w:r>
      <w:r w:rsidRPr="003C1B02">
        <w:rPr>
          <w:rFonts w:ascii="Arial" w:eastAsia="Calibri" w:hAnsi="Arial" w:cs="Arial"/>
        </w:rPr>
        <w:t xml:space="preserve">vote. </w:t>
      </w:r>
    </w:p>
    <w:p w:rsidR="006F01C4" w:rsidRPr="003C1B02" w:rsidRDefault="006F01C4" w:rsidP="006F01C4">
      <w:pPr>
        <w:spacing w:after="0" w:line="360" w:lineRule="auto"/>
        <w:jc w:val="both"/>
        <w:outlineLvl w:val="0"/>
        <w:rPr>
          <w:rFonts w:ascii="Arial" w:eastAsia="Calibri" w:hAnsi="Arial" w:cs="Arial"/>
        </w:rPr>
      </w:pPr>
    </w:p>
    <w:p w:rsidR="006F01C4" w:rsidRPr="003C1B02" w:rsidRDefault="006F01C4" w:rsidP="006F01C4">
      <w:pPr>
        <w:spacing w:after="0" w:line="360" w:lineRule="auto"/>
        <w:rPr>
          <w:rFonts w:ascii="Arial" w:eastAsia="Calibri" w:hAnsi="Arial" w:cs="Arial"/>
          <w:b/>
        </w:rPr>
      </w:pPr>
      <w:r w:rsidRPr="003C1B02">
        <w:rPr>
          <w:rFonts w:ascii="Arial" w:eastAsia="Calibri" w:hAnsi="Arial" w:cs="Arial"/>
          <w:b/>
        </w:rPr>
        <w:t>2015/16</w:t>
      </w:r>
    </w:p>
    <w:p w:rsidR="006F01C4" w:rsidRPr="003C1B02" w:rsidRDefault="006F01C4" w:rsidP="006F01C4">
      <w:pPr>
        <w:spacing w:after="0" w:line="360" w:lineRule="auto"/>
        <w:jc w:val="both"/>
        <w:outlineLvl w:val="0"/>
        <w:rPr>
          <w:rFonts w:ascii="Arial" w:eastAsia="Calibri" w:hAnsi="Arial" w:cs="Arial"/>
        </w:rPr>
      </w:pPr>
      <w:r w:rsidRPr="003C1B02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>D</w:t>
      </w:r>
      <w:r w:rsidRPr="003C1B02">
        <w:rPr>
          <w:rFonts w:ascii="Arial" w:eastAsia="Calibri" w:hAnsi="Arial" w:cs="Arial"/>
        </w:rPr>
        <w:t xml:space="preserve">epartment spent </w:t>
      </w:r>
      <w:r w:rsidRPr="003C1B02">
        <w:rPr>
          <w:rFonts w:ascii="Arial" w:eastAsia="Calibri" w:hAnsi="Arial" w:cs="Arial"/>
          <w:b/>
        </w:rPr>
        <w:t xml:space="preserve">R2 427 204.75 </w:t>
      </w:r>
      <w:r w:rsidRPr="003C1B02">
        <w:rPr>
          <w:rFonts w:ascii="Arial" w:eastAsia="Calibri" w:hAnsi="Arial" w:cs="Arial"/>
        </w:rPr>
        <w:t>for (a) travel, (b) accommodation and (c) subsistence costs for the (i) Minister, (ii) Deputy Minister and (iii) the spokesperson in the  (bb) 2015-16 financial year.</w:t>
      </w:r>
    </w:p>
    <w:tbl>
      <w:tblPr>
        <w:tblStyle w:val="TableGrid"/>
        <w:tblW w:w="9553" w:type="dxa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1560"/>
        <w:gridCol w:w="2040"/>
        <w:gridCol w:w="1701"/>
        <w:gridCol w:w="1559"/>
      </w:tblGrid>
      <w:tr w:rsidR="006F01C4" w:rsidRPr="003C1B02" w:rsidTr="00144D2C">
        <w:trPr>
          <w:trHeight w:val="300"/>
        </w:trPr>
        <w:tc>
          <w:tcPr>
            <w:tcW w:w="567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126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560" w:type="dxa"/>
            <w:noWrap/>
            <w:hideMark/>
          </w:tcPr>
          <w:p w:rsidR="006F01C4" w:rsidRDefault="006F01C4" w:rsidP="006F01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 w:hanging="31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4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Travel</w:t>
            </w:r>
          </w:p>
          <w:p w:rsidR="006F01C4" w:rsidRPr="00E64271" w:rsidRDefault="006F01C4" w:rsidP="00144D2C">
            <w:pPr>
              <w:pStyle w:val="ListParagraph"/>
              <w:spacing w:line="360" w:lineRule="auto"/>
              <w:ind w:left="31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2040" w:type="dxa"/>
            <w:noWrap/>
            <w:hideMark/>
          </w:tcPr>
          <w:p w:rsidR="006F01C4" w:rsidRDefault="006F01C4" w:rsidP="006F01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13" w:hanging="4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4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Accommodation</w:t>
            </w:r>
          </w:p>
          <w:p w:rsidR="006F01C4" w:rsidRPr="00E64271" w:rsidRDefault="006F01C4" w:rsidP="00144D2C">
            <w:pPr>
              <w:pStyle w:val="ListParagraph"/>
              <w:spacing w:line="360" w:lineRule="auto"/>
              <w:ind w:left="4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1701" w:type="dxa"/>
            <w:noWrap/>
            <w:hideMark/>
          </w:tcPr>
          <w:p w:rsidR="006F01C4" w:rsidRPr="00E64271" w:rsidRDefault="006F01C4" w:rsidP="006F01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93" w:hanging="29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4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Subsistence costs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(R)</w:t>
            </w:r>
          </w:p>
        </w:tc>
        <w:tc>
          <w:tcPr>
            <w:tcW w:w="1559" w:type="dxa"/>
            <w:noWrap/>
            <w:hideMark/>
          </w:tcPr>
          <w:p w:rsidR="006F01C4" w:rsidRDefault="006F01C4" w:rsidP="00144D2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</w:p>
          <w:p w:rsidR="006F01C4" w:rsidRPr="003C1B02" w:rsidRDefault="006F01C4" w:rsidP="00144D2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(R)</w:t>
            </w:r>
          </w:p>
        </w:tc>
      </w:tr>
      <w:tr w:rsidR="006F01C4" w:rsidRPr="003C1B02" w:rsidTr="00144D2C">
        <w:trPr>
          <w:trHeight w:val="300"/>
        </w:trPr>
        <w:tc>
          <w:tcPr>
            <w:tcW w:w="567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(i)</w:t>
            </w:r>
          </w:p>
        </w:tc>
        <w:tc>
          <w:tcPr>
            <w:tcW w:w="2126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Minister </w:t>
            </w:r>
          </w:p>
        </w:tc>
        <w:tc>
          <w:tcPr>
            <w:tcW w:w="1560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1 007 264,93</w:t>
            </w:r>
          </w:p>
        </w:tc>
        <w:tc>
          <w:tcPr>
            <w:tcW w:w="2040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204 850,46</w:t>
            </w:r>
          </w:p>
        </w:tc>
        <w:tc>
          <w:tcPr>
            <w:tcW w:w="1701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45 314.30 </w:t>
            </w:r>
          </w:p>
        </w:tc>
        <w:tc>
          <w:tcPr>
            <w:tcW w:w="1559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1 257 429,69</w:t>
            </w:r>
          </w:p>
        </w:tc>
      </w:tr>
      <w:tr w:rsidR="006F01C4" w:rsidRPr="003C1B02" w:rsidTr="00144D2C">
        <w:trPr>
          <w:trHeight w:val="300"/>
        </w:trPr>
        <w:tc>
          <w:tcPr>
            <w:tcW w:w="567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(ii)</w:t>
            </w:r>
          </w:p>
        </w:tc>
        <w:tc>
          <w:tcPr>
            <w:tcW w:w="2126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Deputy Minister</w:t>
            </w:r>
          </w:p>
        </w:tc>
        <w:tc>
          <w:tcPr>
            <w:tcW w:w="1560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724 333,73</w:t>
            </w:r>
          </w:p>
        </w:tc>
        <w:tc>
          <w:tcPr>
            <w:tcW w:w="2040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177 966,07</w:t>
            </w:r>
          </w:p>
        </w:tc>
        <w:tc>
          <w:tcPr>
            <w:tcW w:w="1701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119 231.23 </w:t>
            </w:r>
          </w:p>
        </w:tc>
        <w:tc>
          <w:tcPr>
            <w:tcW w:w="1559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1 021 531,03</w:t>
            </w:r>
          </w:p>
        </w:tc>
      </w:tr>
      <w:tr w:rsidR="006F01C4" w:rsidRPr="003C1B02" w:rsidTr="00144D2C">
        <w:trPr>
          <w:trHeight w:val="300"/>
        </w:trPr>
        <w:tc>
          <w:tcPr>
            <w:tcW w:w="567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(iii)</w:t>
            </w:r>
          </w:p>
        </w:tc>
        <w:tc>
          <w:tcPr>
            <w:tcW w:w="2126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Cornelius Monama</w:t>
            </w:r>
          </w:p>
        </w:tc>
        <w:tc>
          <w:tcPr>
            <w:tcW w:w="1560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92 590,82</w:t>
            </w:r>
          </w:p>
        </w:tc>
        <w:tc>
          <w:tcPr>
            <w:tcW w:w="2040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21 421,47</w:t>
            </w:r>
          </w:p>
        </w:tc>
        <w:tc>
          <w:tcPr>
            <w:tcW w:w="1701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34 231.74 </w:t>
            </w:r>
          </w:p>
        </w:tc>
        <w:tc>
          <w:tcPr>
            <w:tcW w:w="1559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148 244,03</w:t>
            </w:r>
          </w:p>
        </w:tc>
      </w:tr>
    </w:tbl>
    <w:p w:rsidR="006F01C4" w:rsidRPr="003C1B02" w:rsidRDefault="006F01C4" w:rsidP="006F01C4">
      <w:pPr>
        <w:spacing w:after="0" w:line="360" w:lineRule="auto"/>
        <w:jc w:val="both"/>
        <w:outlineLvl w:val="0"/>
        <w:rPr>
          <w:rFonts w:ascii="Arial" w:eastAsia="Calibri" w:hAnsi="Arial" w:cs="Arial"/>
        </w:rPr>
      </w:pPr>
    </w:p>
    <w:p w:rsidR="006F01C4" w:rsidRPr="003C1B02" w:rsidRDefault="006F01C4" w:rsidP="006F01C4">
      <w:pPr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</w:t>
      </w:r>
      <w:r w:rsidRPr="003C1B02">
        <w:rPr>
          <w:rFonts w:ascii="Arial" w:eastAsia="Calibri" w:hAnsi="Arial" w:cs="Arial"/>
          <w:b/>
        </w:rPr>
        <w:t>016/17</w:t>
      </w:r>
    </w:p>
    <w:p w:rsidR="006F01C4" w:rsidRPr="003C1B02" w:rsidRDefault="006F01C4" w:rsidP="006F01C4">
      <w:pPr>
        <w:spacing w:after="0" w:line="360" w:lineRule="auto"/>
        <w:jc w:val="both"/>
        <w:outlineLvl w:val="0"/>
        <w:rPr>
          <w:rFonts w:ascii="Arial" w:eastAsia="Calibri" w:hAnsi="Arial" w:cs="Arial"/>
        </w:rPr>
      </w:pPr>
      <w:r w:rsidRPr="003C1B02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>D</w:t>
      </w:r>
      <w:r w:rsidRPr="003C1B02">
        <w:rPr>
          <w:rFonts w:ascii="Arial" w:eastAsia="Calibri" w:hAnsi="Arial" w:cs="Arial"/>
        </w:rPr>
        <w:t xml:space="preserve">epartment spent </w:t>
      </w:r>
      <w:r w:rsidRPr="003C1B02">
        <w:rPr>
          <w:rFonts w:ascii="Arial" w:eastAsia="Calibri" w:hAnsi="Arial" w:cs="Arial"/>
          <w:b/>
        </w:rPr>
        <w:t>R1 439 399.73</w:t>
      </w:r>
      <w:r w:rsidRPr="003C1B02">
        <w:rPr>
          <w:rFonts w:ascii="Arial" w:eastAsia="Calibri" w:hAnsi="Arial" w:cs="Arial"/>
        </w:rPr>
        <w:t xml:space="preserve"> for (a) travel, (b) accommodation and (c) subsistence costs for the (i) Minister, (ii) Deputy Minister and (iii) the</w:t>
      </w:r>
      <w:r>
        <w:rPr>
          <w:rFonts w:ascii="Arial" w:eastAsia="Calibri" w:hAnsi="Arial" w:cs="Arial"/>
        </w:rPr>
        <w:t xml:space="preserve"> spokesperson </w:t>
      </w:r>
      <w:r w:rsidRPr="003C1B02">
        <w:rPr>
          <w:rFonts w:ascii="Arial" w:eastAsia="Calibri" w:hAnsi="Arial" w:cs="Arial"/>
        </w:rPr>
        <w:t>in the  (cc) 2016-17 financial year.</w:t>
      </w:r>
      <w:r w:rsidRPr="003C1B02">
        <w:rPr>
          <w:rFonts w:ascii="Arial" w:eastAsia="Calibri" w:hAnsi="Arial" w:cs="Arial"/>
        </w:rPr>
        <w:tab/>
      </w:r>
    </w:p>
    <w:tbl>
      <w:tblPr>
        <w:tblStyle w:val="TableGrid"/>
        <w:tblW w:w="9492" w:type="dxa"/>
        <w:tblInd w:w="137" w:type="dxa"/>
        <w:tblLook w:val="04A0" w:firstRow="1" w:lastRow="0" w:firstColumn="1" w:lastColumn="0" w:noHBand="0" w:noVBand="1"/>
      </w:tblPr>
      <w:tblGrid>
        <w:gridCol w:w="565"/>
        <w:gridCol w:w="2127"/>
        <w:gridCol w:w="1626"/>
        <w:gridCol w:w="1993"/>
        <w:gridCol w:w="1680"/>
        <w:gridCol w:w="1554"/>
      </w:tblGrid>
      <w:tr w:rsidR="006F01C4" w:rsidRPr="003C1B02" w:rsidTr="00144D2C">
        <w:trPr>
          <w:trHeight w:val="300"/>
        </w:trPr>
        <w:tc>
          <w:tcPr>
            <w:tcW w:w="565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127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1626" w:type="dxa"/>
            <w:noWrap/>
            <w:hideMark/>
          </w:tcPr>
          <w:p w:rsidR="006F01C4" w:rsidRDefault="006F01C4" w:rsidP="006F01C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9" w:hanging="319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4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Travel</w:t>
            </w:r>
          </w:p>
          <w:p w:rsidR="006F01C4" w:rsidRPr="00E64271" w:rsidRDefault="006F01C4" w:rsidP="00144D2C">
            <w:pPr>
              <w:pStyle w:val="ListParagraph"/>
              <w:spacing w:line="360" w:lineRule="auto"/>
              <w:ind w:left="319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1940" w:type="dxa"/>
            <w:noWrap/>
            <w:hideMark/>
          </w:tcPr>
          <w:p w:rsidR="006F01C4" w:rsidRDefault="006F01C4" w:rsidP="006F01C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6" w:hanging="36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4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Accommodation</w:t>
            </w:r>
          </w:p>
          <w:p w:rsidR="006F01C4" w:rsidRPr="00E64271" w:rsidRDefault="006F01C4" w:rsidP="00144D2C">
            <w:pPr>
              <w:pStyle w:val="ListParagraph"/>
              <w:spacing w:line="360" w:lineRule="auto"/>
              <w:ind w:left="36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(R)</w:t>
            </w:r>
          </w:p>
        </w:tc>
        <w:tc>
          <w:tcPr>
            <w:tcW w:w="1680" w:type="dxa"/>
            <w:noWrap/>
            <w:hideMark/>
          </w:tcPr>
          <w:p w:rsidR="006F01C4" w:rsidRPr="00E64271" w:rsidRDefault="006F01C4" w:rsidP="006F01C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3" w:hanging="28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42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Subsistence costs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(R)</w:t>
            </w:r>
          </w:p>
        </w:tc>
        <w:tc>
          <w:tcPr>
            <w:tcW w:w="1554" w:type="dxa"/>
            <w:noWrap/>
            <w:hideMark/>
          </w:tcPr>
          <w:p w:rsidR="006F01C4" w:rsidRDefault="006F01C4" w:rsidP="00144D2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</w:p>
          <w:p w:rsidR="006F01C4" w:rsidRPr="003C1B02" w:rsidRDefault="006F01C4" w:rsidP="00144D2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(R)</w:t>
            </w:r>
          </w:p>
        </w:tc>
      </w:tr>
      <w:tr w:rsidR="006F01C4" w:rsidRPr="003C1B02" w:rsidTr="00144D2C">
        <w:trPr>
          <w:trHeight w:val="300"/>
        </w:trPr>
        <w:tc>
          <w:tcPr>
            <w:tcW w:w="565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ind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(i)</w:t>
            </w:r>
          </w:p>
        </w:tc>
        <w:tc>
          <w:tcPr>
            <w:tcW w:w="2127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Minister </w:t>
            </w:r>
          </w:p>
        </w:tc>
        <w:tc>
          <w:tcPr>
            <w:tcW w:w="1626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553 220,06</w:t>
            </w:r>
          </w:p>
        </w:tc>
        <w:tc>
          <w:tcPr>
            <w:tcW w:w="1940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114 732,96</w:t>
            </w:r>
          </w:p>
        </w:tc>
        <w:tc>
          <w:tcPr>
            <w:tcW w:w="1680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44 074.64 </w:t>
            </w:r>
          </w:p>
        </w:tc>
        <w:tc>
          <w:tcPr>
            <w:tcW w:w="1554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712 027,67</w:t>
            </w:r>
          </w:p>
        </w:tc>
      </w:tr>
      <w:tr w:rsidR="006F01C4" w:rsidRPr="003C1B02" w:rsidTr="00144D2C">
        <w:trPr>
          <w:trHeight w:val="300"/>
        </w:trPr>
        <w:tc>
          <w:tcPr>
            <w:tcW w:w="565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ind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(ii)</w:t>
            </w:r>
          </w:p>
        </w:tc>
        <w:tc>
          <w:tcPr>
            <w:tcW w:w="2127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Deputy Minister</w:t>
            </w:r>
          </w:p>
        </w:tc>
        <w:tc>
          <w:tcPr>
            <w:tcW w:w="1626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436 963,22</w:t>
            </w:r>
          </w:p>
        </w:tc>
        <w:tc>
          <w:tcPr>
            <w:tcW w:w="1940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166 090,93</w:t>
            </w:r>
          </w:p>
        </w:tc>
        <w:tc>
          <w:tcPr>
            <w:tcW w:w="1680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46 479.53 </w:t>
            </w:r>
          </w:p>
        </w:tc>
        <w:tc>
          <w:tcPr>
            <w:tcW w:w="1554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649 533,68</w:t>
            </w:r>
          </w:p>
        </w:tc>
      </w:tr>
      <w:tr w:rsidR="006F01C4" w:rsidRPr="003C1B02" w:rsidTr="00144D2C">
        <w:trPr>
          <w:trHeight w:val="300"/>
        </w:trPr>
        <w:tc>
          <w:tcPr>
            <w:tcW w:w="565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ind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(iii)</w:t>
            </w:r>
          </w:p>
        </w:tc>
        <w:tc>
          <w:tcPr>
            <w:tcW w:w="2127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Cornelius Monama</w:t>
            </w:r>
          </w:p>
        </w:tc>
        <w:tc>
          <w:tcPr>
            <w:tcW w:w="1626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45 227,57</w:t>
            </w:r>
          </w:p>
        </w:tc>
        <w:tc>
          <w:tcPr>
            <w:tcW w:w="1940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4 582,40</w:t>
            </w:r>
          </w:p>
        </w:tc>
        <w:tc>
          <w:tcPr>
            <w:tcW w:w="1680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28 028.41 </w:t>
            </w:r>
          </w:p>
        </w:tc>
        <w:tc>
          <w:tcPr>
            <w:tcW w:w="1554" w:type="dxa"/>
            <w:noWrap/>
            <w:hideMark/>
          </w:tcPr>
          <w:p w:rsidR="006F01C4" w:rsidRPr="003C1B02" w:rsidRDefault="006F01C4" w:rsidP="00144D2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1B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77 838,38</w:t>
            </w:r>
          </w:p>
        </w:tc>
      </w:tr>
    </w:tbl>
    <w:p w:rsidR="006F01C4" w:rsidRPr="003C1B02" w:rsidRDefault="006F01C4" w:rsidP="006F01C4">
      <w:pPr>
        <w:spacing w:after="0" w:line="360" w:lineRule="auto"/>
        <w:ind w:left="992" w:hanging="992"/>
        <w:rPr>
          <w:rFonts w:ascii="Arial" w:hAnsi="Arial" w:cs="Arial"/>
          <w:b/>
        </w:rPr>
        <w:sectPr w:rsidR="006F01C4" w:rsidRPr="003C1B02" w:rsidSect="00E64271">
          <w:footerReference w:type="default" r:id="rId5"/>
          <w:pgSz w:w="11907" w:h="16839" w:code="9"/>
          <w:pgMar w:top="709" w:right="1134" w:bottom="851" w:left="993" w:header="720" w:footer="489" w:gutter="0"/>
          <w:pgNumType w:chapStyle="1"/>
          <w:cols w:space="720"/>
          <w:docGrid w:linePitch="360"/>
        </w:sectPr>
      </w:pPr>
    </w:p>
    <w:p w:rsidR="00101DF5" w:rsidRDefault="00101DF5"/>
    <w:p w:rsidR="006F01C4" w:rsidRDefault="006F01C4">
      <w:bookmarkStart w:id="0" w:name="_GoBack"/>
      <w:bookmarkEnd w:id="0"/>
    </w:p>
    <w:sectPr w:rsidR="006F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686201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86D" w:rsidRPr="0085386D" w:rsidRDefault="006F01C4" w:rsidP="0085386D">
        <w:pPr>
          <w:pStyle w:val="Footer"/>
          <w:rPr>
            <w:sz w:val="16"/>
            <w:szCs w:val="16"/>
          </w:rPr>
        </w:pPr>
        <w:r w:rsidRPr="0085386D">
          <w:rPr>
            <w:sz w:val="16"/>
            <w:szCs w:val="16"/>
          </w:rPr>
          <w:t xml:space="preserve">Parliamentary Written </w:t>
        </w:r>
        <w:r>
          <w:rPr>
            <w:sz w:val="16"/>
            <w:szCs w:val="16"/>
          </w:rPr>
          <w:t>1</w:t>
        </w:r>
        <w:r>
          <w:rPr>
            <w:sz w:val="16"/>
            <w:szCs w:val="16"/>
          </w:rPr>
          <w:t>417</w:t>
        </w:r>
        <w:r>
          <w:rPr>
            <w:sz w:val="16"/>
            <w:szCs w:val="16"/>
          </w:rPr>
          <w:t>-NW</w:t>
        </w:r>
        <w:r>
          <w:rPr>
            <w:sz w:val="16"/>
            <w:szCs w:val="16"/>
          </w:rPr>
          <w:t>1</w:t>
        </w:r>
        <w:r>
          <w:rPr>
            <w:sz w:val="16"/>
            <w:szCs w:val="16"/>
          </w:rPr>
          <w:t>5</w:t>
        </w:r>
        <w:r>
          <w:rPr>
            <w:sz w:val="16"/>
            <w:szCs w:val="16"/>
          </w:rPr>
          <w:t>59</w:t>
        </w:r>
        <w:r w:rsidRPr="0085386D">
          <w:rPr>
            <w:sz w:val="16"/>
            <w:szCs w:val="16"/>
          </w:rPr>
          <w:t>E</w:t>
        </w:r>
        <w:r w:rsidRPr="0085386D">
          <w:rPr>
            <w:sz w:val="16"/>
            <w:szCs w:val="16"/>
          </w:rPr>
          <w:tab/>
        </w:r>
        <w:r w:rsidRPr="0085386D">
          <w:rPr>
            <w:sz w:val="16"/>
            <w:szCs w:val="16"/>
          </w:rPr>
          <w:tab/>
        </w:r>
        <w:r w:rsidRPr="0085386D">
          <w:rPr>
            <w:sz w:val="16"/>
            <w:szCs w:val="16"/>
          </w:rPr>
          <w:fldChar w:fldCharType="begin"/>
        </w:r>
        <w:r w:rsidRPr="0085386D">
          <w:rPr>
            <w:sz w:val="16"/>
            <w:szCs w:val="16"/>
          </w:rPr>
          <w:instrText xml:space="preserve"> PAGE   \* MERGEFORMAT </w:instrText>
        </w:r>
        <w:r w:rsidRPr="0085386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85386D">
          <w:rPr>
            <w:noProof/>
            <w:sz w:val="16"/>
            <w:szCs w:val="16"/>
          </w:rPr>
          <w:fldChar w:fldCharType="end"/>
        </w:r>
      </w:p>
    </w:sdtContent>
  </w:sdt>
  <w:p w:rsidR="00BF2BB1" w:rsidRPr="0085386D" w:rsidRDefault="006F01C4">
    <w:pPr>
      <w:pStyle w:val="Foo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209C"/>
    <w:multiLevelType w:val="hybridMultilevel"/>
    <w:tmpl w:val="139CCE02"/>
    <w:lvl w:ilvl="0" w:tplc="9C923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10D84"/>
    <w:multiLevelType w:val="hybridMultilevel"/>
    <w:tmpl w:val="1D1861EC"/>
    <w:lvl w:ilvl="0" w:tplc="932C7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C4"/>
    <w:rsid w:val="00101DF5"/>
    <w:rsid w:val="006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FBB35-3C87-430C-A686-A337BE36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C4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0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C4"/>
    <w:rPr>
      <w:lang w:val="en-ZA"/>
    </w:rPr>
  </w:style>
  <w:style w:type="table" w:styleId="TableGrid">
    <w:name w:val="Table Grid"/>
    <w:basedOn w:val="TableNormal"/>
    <w:uiPriority w:val="39"/>
    <w:rsid w:val="006F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Nqubelani</dc:creator>
  <cp:keywords/>
  <dc:description/>
  <cp:lastModifiedBy>Oliver Nqubelani</cp:lastModifiedBy>
  <cp:revision>1</cp:revision>
  <dcterms:created xsi:type="dcterms:W3CDTF">2017-08-17T09:59:00Z</dcterms:created>
  <dcterms:modified xsi:type="dcterms:W3CDTF">2017-08-17T10:01:00Z</dcterms:modified>
</cp:coreProperties>
</file>