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1B" w:rsidRDefault="00564682" w:rsidP="00564682">
      <w:pPr>
        <w:spacing w:before="100" w:beforeAutospacing="1" w:after="100" w:afterAutospacing="1" w:line="240" w:lineRule="auto"/>
        <w:ind w:left="851" w:hanging="851"/>
        <w:jc w:val="both"/>
        <w:outlineLvl w:val="0"/>
        <w:rPr>
          <w:rFonts w:ascii="Arial" w:hAnsi="Arial" w:cs="Arial"/>
          <w:b/>
        </w:rPr>
      </w:pPr>
      <w:bookmarkStart w:id="0" w:name="_GoBack"/>
      <w:bookmarkEnd w:id="0"/>
      <w:r>
        <w:rPr>
          <w:rFonts w:ascii="Times New Roman" w:hAnsi="Times New Roman"/>
          <w:b/>
          <w:sz w:val="24"/>
          <w:szCs w:val="24"/>
        </w:rPr>
        <w:tab/>
      </w:r>
      <w:r w:rsidRPr="000E5882">
        <w:rPr>
          <w:rFonts w:ascii="Arial" w:hAnsi="Arial" w:cs="Arial"/>
          <w:b/>
        </w:rPr>
        <w:tab/>
      </w:r>
      <w:r w:rsidRPr="000E5882">
        <w:rPr>
          <w:rFonts w:ascii="Arial" w:hAnsi="Arial" w:cs="Arial"/>
          <w:b/>
        </w:rPr>
        <w:tab/>
      </w:r>
      <w:r w:rsidRPr="000E5882">
        <w:rPr>
          <w:rFonts w:ascii="Arial" w:hAnsi="Arial" w:cs="Arial"/>
          <w:b/>
        </w:rPr>
        <w:tab/>
      </w:r>
    </w:p>
    <w:p w:rsidR="0045341B" w:rsidRDefault="0045341B" w:rsidP="00564682">
      <w:pPr>
        <w:spacing w:before="100" w:beforeAutospacing="1" w:after="100" w:afterAutospacing="1" w:line="240" w:lineRule="auto"/>
        <w:ind w:left="851" w:hanging="851"/>
        <w:jc w:val="both"/>
        <w:outlineLvl w:val="0"/>
        <w:rPr>
          <w:rFonts w:ascii="Arial" w:hAnsi="Arial" w:cs="Arial"/>
          <w:b/>
        </w:rPr>
      </w:pPr>
    </w:p>
    <w:p w:rsidR="00564682" w:rsidRPr="000E5882" w:rsidRDefault="00564682" w:rsidP="0045341B">
      <w:pPr>
        <w:spacing w:before="100" w:beforeAutospacing="1" w:after="100" w:afterAutospacing="1" w:line="240" w:lineRule="auto"/>
        <w:ind w:left="851" w:hanging="851"/>
        <w:jc w:val="center"/>
        <w:outlineLvl w:val="0"/>
        <w:rPr>
          <w:rFonts w:ascii="Arial" w:hAnsi="Arial" w:cs="Arial"/>
          <w:b/>
        </w:rPr>
      </w:pPr>
      <w:r w:rsidRPr="000E5882">
        <w:rPr>
          <w:rFonts w:ascii="Arial" w:hAnsi="Arial" w:cs="Arial"/>
          <w:b/>
        </w:rPr>
        <w:t>THE NATIONAL ASSEMBLY</w:t>
      </w:r>
    </w:p>
    <w:p w:rsidR="00564682" w:rsidRPr="000E5882" w:rsidRDefault="00A80419" w:rsidP="00A80419">
      <w:pPr>
        <w:spacing w:before="100" w:beforeAutospacing="1" w:after="100" w:afterAutospacing="1" w:line="240" w:lineRule="auto"/>
        <w:ind w:left="851" w:hanging="851"/>
        <w:jc w:val="center"/>
        <w:outlineLvl w:val="0"/>
        <w:rPr>
          <w:rFonts w:ascii="Arial" w:hAnsi="Arial" w:cs="Arial"/>
          <w:b/>
        </w:rPr>
      </w:pPr>
      <w:r>
        <w:rPr>
          <w:rFonts w:ascii="Arial" w:hAnsi="Arial" w:cs="Arial"/>
          <w:b/>
        </w:rPr>
        <w:t xml:space="preserve">           </w:t>
      </w:r>
      <w:r w:rsidR="00FF726F">
        <w:rPr>
          <w:rFonts w:ascii="Arial" w:hAnsi="Arial" w:cs="Arial"/>
          <w:b/>
        </w:rPr>
        <w:t xml:space="preserve">      </w:t>
      </w:r>
      <w:r w:rsidR="00564682" w:rsidRPr="000E5882">
        <w:rPr>
          <w:rFonts w:ascii="Arial" w:hAnsi="Arial" w:cs="Arial"/>
          <w:b/>
        </w:rPr>
        <w:t>QUESTION FOR WRITTEN REPLY</w:t>
      </w:r>
      <w:r w:rsidR="004B6749" w:rsidRPr="000E5882">
        <w:rPr>
          <w:rFonts w:ascii="Arial" w:hAnsi="Arial" w:cs="Arial"/>
          <w:b/>
        </w:rPr>
        <w:tab/>
      </w:r>
      <w:r w:rsidR="004B6749" w:rsidRPr="000E5882">
        <w:rPr>
          <w:rFonts w:ascii="Arial" w:hAnsi="Arial" w:cs="Arial"/>
          <w:b/>
        </w:rPr>
        <w:tab/>
      </w:r>
    </w:p>
    <w:p w:rsidR="00564682" w:rsidRPr="000E5882" w:rsidRDefault="00564682" w:rsidP="00564682">
      <w:pPr>
        <w:spacing w:before="100" w:beforeAutospacing="1" w:after="100" w:afterAutospacing="1" w:line="240" w:lineRule="auto"/>
        <w:ind w:left="851" w:hanging="851"/>
        <w:jc w:val="both"/>
        <w:outlineLvl w:val="0"/>
        <w:rPr>
          <w:rFonts w:ascii="Arial" w:hAnsi="Arial" w:cs="Arial"/>
          <w:b/>
        </w:rPr>
      </w:pPr>
      <w:r w:rsidRPr="000E5882">
        <w:rPr>
          <w:rFonts w:ascii="Arial" w:hAnsi="Arial" w:cs="Arial"/>
          <w:b/>
        </w:rPr>
        <w:t>1414.</w:t>
      </w:r>
      <w:r w:rsidRPr="000E5882">
        <w:rPr>
          <w:rFonts w:ascii="Arial" w:hAnsi="Arial" w:cs="Arial"/>
          <w:b/>
        </w:rPr>
        <w:tab/>
        <w:t>Mr S Mokgalapa (DA) to ask the Minister of Trade and Industry:</w:t>
      </w:r>
    </w:p>
    <w:p w:rsidR="00564682" w:rsidRDefault="00564682" w:rsidP="00564682">
      <w:pPr>
        <w:spacing w:before="100" w:beforeAutospacing="1" w:after="100" w:afterAutospacing="1" w:line="240" w:lineRule="auto"/>
        <w:ind w:left="851"/>
        <w:jc w:val="both"/>
        <w:rPr>
          <w:rFonts w:ascii="Arial" w:hAnsi="Arial" w:cs="Arial"/>
        </w:rPr>
      </w:pPr>
      <w:r w:rsidRPr="000E5882">
        <w:rPr>
          <w:rFonts w:ascii="Arial" w:hAnsi="Arial" w:cs="Arial"/>
        </w:rPr>
        <w:t>Whether (a) his department and (b) all entities reporting to him are running development programmes for (i) small businesses and (ii) co-operatives; if not, why not; if so, in each case, (aa) what are the relevant details, (bb) what amount has been budgeted and (cc) how many jobs will be created through the specified development programmes in the 2016-17 financial year?</w:t>
      </w:r>
      <w:r w:rsidRPr="000E5882">
        <w:rPr>
          <w:rFonts w:ascii="Arial" w:hAnsi="Arial" w:cs="Arial"/>
        </w:rPr>
        <w:tab/>
        <w:t>NW1562E</w:t>
      </w:r>
    </w:p>
    <w:p w:rsidR="00A80419" w:rsidRPr="00A80419" w:rsidRDefault="00A80419" w:rsidP="00A80419">
      <w:pPr>
        <w:spacing w:before="100" w:beforeAutospacing="1" w:after="100" w:afterAutospacing="1" w:line="240" w:lineRule="auto"/>
        <w:ind w:left="851"/>
        <w:jc w:val="both"/>
        <w:rPr>
          <w:rFonts w:ascii="Arial" w:hAnsi="Arial" w:cs="Arial"/>
          <w:b/>
        </w:rPr>
      </w:pPr>
      <w:r w:rsidRPr="00A80419">
        <w:rPr>
          <w:rFonts w:ascii="Arial" w:hAnsi="Arial" w:cs="Arial"/>
          <w:b/>
        </w:rPr>
        <w:t>Response from the Department</w:t>
      </w:r>
      <w:r w:rsidRPr="00A80419">
        <w:rPr>
          <w:rFonts w:ascii="Arial" w:hAnsi="Arial" w:cs="Arial"/>
          <w:b/>
        </w:rPr>
        <w:tab/>
      </w:r>
    </w:p>
    <w:p w:rsidR="00A80419" w:rsidRPr="000E5882" w:rsidRDefault="00A80419" w:rsidP="00A80419">
      <w:pPr>
        <w:spacing w:before="100" w:beforeAutospacing="1" w:after="100" w:afterAutospacing="1" w:line="240" w:lineRule="auto"/>
        <w:ind w:left="851"/>
        <w:jc w:val="both"/>
        <w:rPr>
          <w:rFonts w:ascii="Arial" w:hAnsi="Arial" w:cs="Arial"/>
        </w:rPr>
      </w:pPr>
      <w:r w:rsidRPr="00A80419">
        <w:rPr>
          <w:rFonts w:ascii="Arial" w:hAnsi="Arial" w:cs="Arial"/>
        </w:rPr>
        <w:t>All programmes specifically targeting small enterprise</w:t>
      </w:r>
      <w:r>
        <w:rPr>
          <w:rFonts w:ascii="Arial" w:hAnsi="Arial" w:cs="Arial"/>
        </w:rPr>
        <w:t xml:space="preserve"> development administered by </w:t>
      </w:r>
      <w:r w:rsidRPr="00A80419">
        <w:rPr>
          <w:rFonts w:ascii="Arial" w:hAnsi="Arial" w:cs="Arial"/>
        </w:rPr>
        <w:t xml:space="preserve"> </w:t>
      </w:r>
      <w:r w:rsidRPr="00A80419">
        <w:rPr>
          <w:rFonts w:ascii="Arial" w:hAnsi="Arial" w:cs="Arial"/>
          <w:b/>
        </w:rPr>
        <w:t>the dti</w:t>
      </w:r>
      <w:r w:rsidRPr="00A80419">
        <w:rPr>
          <w:rFonts w:ascii="Arial" w:hAnsi="Arial" w:cs="Arial"/>
        </w:rPr>
        <w:t xml:space="preserve"> were transferred to the Department of Small Business Development in 2014. In carrying out its mandate to broaden economic participation, </w:t>
      </w:r>
      <w:r w:rsidRPr="00A80419">
        <w:rPr>
          <w:rFonts w:ascii="Arial" w:hAnsi="Arial" w:cs="Arial"/>
          <w:b/>
        </w:rPr>
        <w:t>the dti</w:t>
      </w:r>
      <w:r w:rsidRPr="00A80419">
        <w:rPr>
          <w:rFonts w:ascii="Arial" w:hAnsi="Arial" w:cs="Arial"/>
        </w:rPr>
        <w:t xml:space="preserve"> encourages other businesses to do business with small business in the implementation of programmes such as the BBBEE codes of good practice, local procurement and export support.                   </w:t>
      </w:r>
    </w:p>
    <w:p w:rsidR="00E36881" w:rsidRDefault="00A80419" w:rsidP="004C0D7B">
      <w:pPr>
        <w:spacing w:before="100" w:beforeAutospacing="1" w:after="100" w:afterAutospacing="1" w:line="240" w:lineRule="auto"/>
        <w:ind w:left="851"/>
        <w:jc w:val="both"/>
        <w:rPr>
          <w:rFonts w:ascii="Arial" w:hAnsi="Arial" w:cs="Arial"/>
          <w:b/>
        </w:rPr>
      </w:pPr>
      <w:r>
        <w:rPr>
          <w:rFonts w:ascii="Arial" w:hAnsi="Arial" w:cs="Arial"/>
          <w:b/>
        </w:rPr>
        <w:t>Response from the Entities</w:t>
      </w:r>
    </w:p>
    <w:p w:rsidR="00E36881" w:rsidRDefault="004C0D7B" w:rsidP="00564682">
      <w:pPr>
        <w:spacing w:before="100" w:beforeAutospacing="1" w:after="100" w:afterAutospacing="1" w:line="240" w:lineRule="auto"/>
        <w:ind w:left="851"/>
        <w:jc w:val="both"/>
        <w:rPr>
          <w:rFonts w:ascii="Arial" w:hAnsi="Arial" w:cs="Arial"/>
          <w:b/>
        </w:rPr>
      </w:pPr>
      <w:r>
        <w:rPr>
          <w:rFonts w:ascii="Arial" w:hAnsi="Arial" w:cs="Arial"/>
          <w:b/>
        </w:rPr>
        <w:t>O</w:t>
      </w:r>
      <w:r w:rsidR="00E36881">
        <w:rPr>
          <w:rFonts w:ascii="Arial" w:hAnsi="Arial" w:cs="Arial"/>
          <w:b/>
        </w:rPr>
        <w:t>nly the four entities listed here under</w:t>
      </w:r>
      <w:r>
        <w:rPr>
          <w:rFonts w:ascii="Arial" w:hAnsi="Arial" w:cs="Arial"/>
          <w:b/>
        </w:rPr>
        <w:t xml:space="preserve"> provide support to small business.</w:t>
      </w:r>
    </w:p>
    <w:tbl>
      <w:tblPr>
        <w:tblStyle w:val="TableGrid"/>
        <w:tblW w:w="14348" w:type="dxa"/>
        <w:tblInd w:w="-34" w:type="dxa"/>
        <w:tblLook w:val="04A0" w:firstRow="1" w:lastRow="0" w:firstColumn="1" w:lastColumn="0" w:noHBand="0" w:noVBand="1"/>
      </w:tblPr>
      <w:tblGrid>
        <w:gridCol w:w="2127"/>
        <w:gridCol w:w="2126"/>
        <w:gridCol w:w="1985"/>
        <w:gridCol w:w="3118"/>
        <w:gridCol w:w="2409"/>
        <w:gridCol w:w="2583"/>
      </w:tblGrid>
      <w:tr w:rsidR="0045341B" w:rsidRPr="000E5882" w:rsidTr="007B27B1">
        <w:trPr>
          <w:tblHeader/>
        </w:trPr>
        <w:tc>
          <w:tcPr>
            <w:tcW w:w="2127" w:type="dxa"/>
            <w:shd w:val="clear" w:color="auto" w:fill="F79646" w:themeFill="accent6"/>
          </w:tcPr>
          <w:p w:rsidR="000E5882" w:rsidRPr="000E5882" w:rsidRDefault="000E5882" w:rsidP="000E5882">
            <w:pPr>
              <w:rPr>
                <w:rFonts w:ascii="Arial" w:hAnsi="Arial" w:cs="Arial"/>
                <w:b/>
              </w:rPr>
            </w:pPr>
            <w:r w:rsidRPr="000E5882">
              <w:rPr>
                <w:rFonts w:ascii="Arial" w:hAnsi="Arial" w:cs="Arial"/>
                <w:b/>
              </w:rPr>
              <w:t>Entity</w:t>
            </w:r>
          </w:p>
          <w:p w:rsidR="000E5882" w:rsidRPr="000E5882" w:rsidRDefault="000E5882" w:rsidP="000E5882">
            <w:pPr>
              <w:rPr>
                <w:rFonts w:ascii="Arial" w:hAnsi="Arial" w:cs="Arial"/>
                <w:b/>
              </w:rPr>
            </w:pPr>
          </w:p>
        </w:tc>
        <w:tc>
          <w:tcPr>
            <w:tcW w:w="2126" w:type="dxa"/>
            <w:shd w:val="clear" w:color="auto" w:fill="F79646" w:themeFill="accent6"/>
          </w:tcPr>
          <w:p w:rsidR="000E5882" w:rsidRPr="000E5882" w:rsidRDefault="000E5882" w:rsidP="000E5882">
            <w:pPr>
              <w:spacing w:before="100" w:beforeAutospacing="1"/>
              <w:jc w:val="both"/>
              <w:rPr>
                <w:rFonts w:ascii="Arial" w:hAnsi="Arial" w:cs="Arial"/>
                <w:b/>
              </w:rPr>
            </w:pPr>
            <w:r w:rsidRPr="000E5882">
              <w:rPr>
                <w:rFonts w:ascii="Arial" w:hAnsi="Arial" w:cs="Arial"/>
                <w:b/>
              </w:rPr>
              <w:t>b(i)</w:t>
            </w:r>
          </w:p>
        </w:tc>
        <w:tc>
          <w:tcPr>
            <w:tcW w:w="1985" w:type="dxa"/>
            <w:shd w:val="clear" w:color="auto" w:fill="F79646" w:themeFill="accent6"/>
          </w:tcPr>
          <w:p w:rsidR="000E5882" w:rsidRPr="000E5882" w:rsidRDefault="000E5882" w:rsidP="000E5882">
            <w:pPr>
              <w:spacing w:before="100" w:beforeAutospacing="1"/>
              <w:jc w:val="both"/>
              <w:rPr>
                <w:rFonts w:ascii="Arial" w:hAnsi="Arial" w:cs="Arial"/>
                <w:b/>
              </w:rPr>
            </w:pPr>
            <w:r w:rsidRPr="000E5882">
              <w:rPr>
                <w:rFonts w:ascii="Arial" w:hAnsi="Arial" w:cs="Arial"/>
                <w:b/>
              </w:rPr>
              <w:t>b(ii)</w:t>
            </w:r>
          </w:p>
        </w:tc>
        <w:tc>
          <w:tcPr>
            <w:tcW w:w="3118" w:type="dxa"/>
            <w:shd w:val="clear" w:color="auto" w:fill="F79646" w:themeFill="accent6"/>
          </w:tcPr>
          <w:p w:rsidR="000E5882" w:rsidRPr="000E5882" w:rsidRDefault="000E5882" w:rsidP="000E5882">
            <w:pPr>
              <w:spacing w:before="100" w:beforeAutospacing="1"/>
              <w:jc w:val="both"/>
              <w:rPr>
                <w:rFonts w:ascii="Arial" w:hAnsi="Arial" w:cs="Arial"/>
                <w:b/>
              </w:rPr>
            </w:pPr>
            <w:r w:rsidRPr="000E5882">
              <w:rPr>
                <w:rFonts w:ascii="Arial" w:hAnsi="Arial" w:cs="Arial"/>
                <w:b/>
              </w:rPr>
              <w:t>(aa)</w:t>
            </w:r>
          </w:p>
        </w:tc>
        <w:tc>
          <w:tcPr>
            <w:tcW w:w="2409" w:type="dxa"/>
            <w:shd w:val="clear" w:color="auto" w:fill="F79646" w:themeFill="accent6"/>
          </w:tcPr>
          <w:p w:rsidR="000E5882" w:rsidRPr="000E5882" w:rsidRDefault="000E5882" w:rsidP="000E5882">
            <w:pPr>
              <w:spacing w:before="100" w:beforeAutospacing="1"/>
              <w:jc w:val="both"/>
              <w:rPr>
                <w:rFonts w:ascii="Arial" w:hAnsi="Arial" w:cs="Arial"/>
                <w:b/>
              </w:rPr>
            </w:pPr>
            <w:r w:rsidRPr="000E5882">
              <w:rPr>
                <w:rFonts w:ascii="Arial" w:hAnsi="Arial" w:cs="Arial"/>
                <w:b/>
              </w:rPr>
              <w:t>(bb)</w:t>
            </w:r>
          </w:p>
        </w:tc>
        <w:tc>
          <w:tcPr>
            <w:tcW w:w="2583" w:type="dxa"/>
            <w:shd w:val="clear" w:color="auto" w:fill="F79646" w:themeFill="accent6"/>
          </w:tcPr>
          <w:p w:rsidR="000E5882" w:rsidRPr="000E5882" w:rsidRDefault="000E5882" w:rsidP="000E5882">
            <w:pPr>
              <w:spacing w:before="100" w:beforeAutospacing="1"/>
              <w:jc w:val="both"/>
              <w:rPr>
                <w:rFonts w:ascii="Arial" w:hAnsi="Arial" w:cs="Arial"/>
                <w:b/>
              </w:rPr>
            </w:pPr>
            <w:r w:rsidRPr="000E5882">
              <w:rPr>
                <w:rFonts w:ascii="Arial" w:hAnsi="Arial" w:cs="Arial"/>
                <w:b/>
              </w:rPr>
              <w:t>(cc)</w:t>
            </w:r>
          </w:p>
        </w:tc>
      </w:tr>
      <w:tr w:rsidR="007B27B1" w:rsidRPr="000E5882" w:rsidTr="007B27B1">
        <w:tc>
          <w:tcPr>
            <w:tcW w:w="2127" w:type="dxa"/>
          </w:tcPr>
          <w:p w:rsidR="00C70A09" w:rsidRDefault="00C70A09" w:rsidP="00086D4E">
            <w:pPr>
              <w:jc w:val="both"/>
              <w:rPr>
                <w:rFonts w:ascii="Arial" w:hAnsi="Arial" w:cs="Arial"/>
                <w:b/>
                <w:bCs/>
              </w:rPr>
            </w:pPr>
            <w:r w:rsidRPr="000E5882">
              <w:rPr>
                <w:rFonts w:ascii="Arial" w:hAnsi="Arial" w:cs="Arial"/>
                <w:b/>
                <w:bCs/>
              </w:rPr>
              <w:t>Companies and Intellectual Property Commission (CIPC)</w:t>
            </w:r>
          </w:p>
          <w:p w:rsidR="004C0D7B" w:rsidRPr="000E5882" w:rsidRDefault="004C0D7B" w:rsidP="00086D4E">
            <w:pPr>
              <w:jc w:val="both"/>
              <w:rPr>
                <w:rFonts w:ascii="Arial" w:hAnsi="Arial" w:cs="Arial"/>
                <w:b/>
                <w:bCs/>
              </w:rPr>
            </w:pPr>
          </w:p>
        </w:tc>
        <w:tc>
          <w:tcPr>
            <w:tcW w:w="2126" w:type="dxa"/>
          </w:tcPr>
          <w:p w:rsidR="00C70A09" w:rsidRPr="00C70A09" w:rsidRDefault="00C70A09" w:rsidP="00086D4E">
            <w:pPr>
              <w:spacing w:before="100" w:beforeAutospacing="1" w:after="100" w:afterAutospacing="1"/>
              <w:jc w:val="both"/>
              <w:rPr>
                <w:rFonts w:ascii="Arial" w:hAnsi="Arial" w:cs="Arial"/>
              </w:rPr>
            </w:pPr>
            <w:r>
              <w:rPr>
                <w:rFonts w:ascii="Arial" w:hAnsi="Arial" w:cs="Arial"/>
              </w:rPr>
              <w:t xml:space="preserve">The CIPC </w:t>
            </w:r>
            <w:r w:rsidRPr="00C70A09">
              <w:rPr>
                <w:rFonts w:ascii="Arial" w:hAnsi="Arial" w:cs="Arial"/>
              </w:rPr>
              <w:t>does not run any development programmes for small business</w:t>
            </w:r>
          </w:p>
        </w:tc>
        <w:tc>
          <w:tcPr>
            <w:tcW w:w="1985" w:type="dxa"/>
          </w:tcPr>
          <w:p w:rsidR="00C70A09" w:rsidRPr="00C70A09" w:rsidRDefault="00C70A09" w:rsidP="00C70A09">
            <w:pPr>
              <w:spacing w:before="100" w:beforeAutospacing="1" w:after="100" w:afterAutospacing="1"/>
              <w:jc w:val="both"/>
              <w:rPr>
                <w:rFonts w:ascii="Arial" w:hAnsi="Arial" w:cs="Arial"/>
              </w:rPr>
            </w:pPr>
            <w:r w:rsidRPr="00C70A09">
              <w:rPr>
                <w:rFonts w:ascii="Arial" w:hAnsi="Arial" w:cs="Arial"/>
              </w:rPr>
              <w:t xml:space="preserve">The </w:t>
            </w:r>
            <w:r>
              <w:rPr>
                <w:rFonts w:ascii="Arial" w:hAnsi="Arial" w:cs="Arial"/>
              </w:rPr>
              <w:t>CIPC</w:t>
            </w:r>
            <w:r w:rsidRPr="00C70A09">
              <w:rPr>
                <w:rFonts w:ascii="Arial" w:hAnsi="Arial" w:cs="Arial"/>
              </w:rPr>
              <w:t xml:space="preserve"> does not run any development programmes for co-operatives</w:t>
            </w:r>
          </w:p>
        </w:tc>
        <w:tc>
          <w:tcPr>
            <w:tcW w:w="3118" w:type="dxa"/>
          </w:tcPr>
          <w:p w:rsidR="00C70A09" w:rsidRPr="000E5882" w:rsidRDefault="00C70A09" w:rsidP="00564682">
            <w:pPr>
              <w:spacing w:before="100" w:beforeAutospacing="1" w:after="100" w:afterAutospacing="1"/>
              <w:jc w:val="both"/>
              <w:rPr>
                <w:rFonts w:ascii="Arial" w:hAnsi="Arial" w:cs="Arial"/>
              </w:rPr>
            </w:pPr>
            <w:r>
              <w:rPr>
                <w:rFonts w:ascii="Arial" w:hAnsi="Arial" w:cs="Arial"/>
              </w:rPr>
              <w:t>Not applicable</w:t>
            </w:r>
          </w:p>
        </w:tc>
        <w:tc>
          <w:tcPr>
            <w:tcW w:w="2409" w:type="dxa"/>
          </w:tcPr>
          <w:p w:rsidR="00C70A09" w:rsidRDefault="00C70A09">
            <w:r w:rsidRPr="001C095E">
              <w:rPr>
                <w:rFonts w:ascii="Arial" w:hAnsi="Arial" w:cs="Arial"/>
              </w:rPr>
              <w:t>Not applicable</w:t>
            </w:r>
          </w:p>
        </w:tc>
        <w:tc>
          <w:tcPr>
            <w:tcW w:w="2583" w:type="dxa"/>
          </w:tcPr>
          <w:p w:rsidR="00C70A09" w:rsidRDefault="00C70A09">
            <w:r w:rsidRPr="001C095E">
              <w:rPr>
                <w:rFonts w:ascii="Arial" w:hAnsi="Arial" w:cs="Arial"/>
              </w:rPr>
              <w:t>Not applicable</w:t>
            </w:r>
          </w:p>
        </w:tc>
      </w:tr>
      <w:tr w:rsidR="008F239E" w:rsidRPr="000E5882" w:rsidTr="007B27B1">
        <w:tc>
          <w:tcPr>
            <w:tcW w:w="2127" w:type="dxa"/>
          </w:tcPr>
          <w:p w:rsidR="008F239E" w:rsidRPr="000E5882" w:rsidRDefault="008F239E" w:rsidP="00086D4E">
            <w:pPr>
              <w:jc w:val="both"/>
              <w:rPr>
                <w:rFonts w:ascii="Arial" w:hAnsi="Arial" w:cs="Arial"/>
                <w:b/>
                <w:bCs/>
              </w:rPr>
            </w:pPr>
            <w:r w:rsidRPr="000E5882">
              <w:rPr>
                <w:rFonts w:ascii="Arial" w:hAnsi="Arial" w:cs="Arial"/>
                <w:b/>
                <w:bCs/>
              </w:rPr>
              <w:t xml:space="preserve">Export Credit Insurance </w:t>
            </w:r>
            <w:r w:rsidRPr="000E5882">
              <w:rPr>
                <w:rFonts w:ascii="Arial" w:hAnsi="Arial" w:cs="Arial"/>
                <w:b/>
                <w:bCs/>
              </w:rPr>
              <w:lastRenderedPageBreak/>
              <w:t>Corporation (ECIC)</w:t>
            </w:r>
          </w:p>
        </w:tc>
        <w:tc>
          <w:tcPr>
            <w:tcW w:w="2126" w:type="dxa"/>
          </w:tcPr>
          <w:p w:rsidR="008F239E" w:rsidRPr="000E5882" w:rsidRDefault="008F239E" w:rsidP="00101115">
            <w:pPr>
              <w:spacing w:before="100" w:beforeAutospacing="1" w:after="100" w:afterAutospacing="1"/>
              <w:jc w:val="both"/>
              <w:rPr>
                <w:rFonts w:ascii="Arial" w:hAnsi="Arial" w:cs="Arial"/>
              </w:rPr>
            </w:pPr>
            <w:r>
              <w:rPr>
                <w:rFonts w:ascii="Arial" w:hAnsi="Arial" w:cs="Arial"/>
              </w:rPr>
              <w:lastRenderedPageBreak/>
              <w:t xml:space="preserve">The ECIC does </w:t>
            </w:r>
            <w:r w:rsidRPr="00C70A09">
              <w:rPr>
                <w:rFonts w:ascii="Arial" w:hAnsi="Arial" w:cs="Arial"/>
              </w:rPr>
              <w:t xml:space="preserve"> run development </w:t>
            </w:r>
            <w:r w:rsidRPr="00C70A09">
              <w:rPr>
                <w:rFonts w:ascii="Arial" w:hAnsi="Arial" w:cs="Arial"/>
              </w:rPr>
              <w:lastRenderedPageBreak/>
              <w:t>programmes for small business</w:t>
            </w:r>
          </w:p>
        </w:tc>
        <w:tc>
          <w:tcPr>
            <w:tcW w:w="1985" w:type="dxa"/>
          </w:tcPr>
          <w:p w:rsidR="008F239E" w:rsidRPr="000E5882" w:rsidRDefault="008F239E" w:rsidP="008F239E">
            <w:pPr>
              <w:spacing w:before="100" w:beforeAutospacing="1" w:after="100" w:afterAutospacing="1"/>
              <w:jc w:val="both"/>
              <w:rPr>
                <w:rFonts w:ascii="Arial" w:hAnsi="Arial" w:cs="Arial"/>
              </w:rPr>
            </w:pPr>
            <w:r>
              <w:rPr>
                <w:rFonts w:ascii="Arial" w:hAnsi="Arial" w:cs="Arial"/>
              </w:rPr>
              <w:lastRenderedPageBreak/>
              <w:t xml:space="preserve">The ECIC does </w:t>
            </w:r>
            <w:r w:rsidRPr="00C70A09">
              <w:rPr>
                <w:rFonts w:ascii="Arial" w:hAnsi="Arial" w:cs="Arial"/>
              </w:rPr>
              <w:t xml:space="preserve"> </w:t>
            </w:r>
            <w:r w:rsidR="00DA23A7">
              <w:rPr>
                <w:rFonts w:ascii="Arial" w:hAnsi="Arial" w:cs="Arial"/>
              </w:rPr>
              <w:t xml:space="preserve">not </w:t>
            </w:r>
            <w:r w:rsidRPr="00C70A09">
              <w:rPr>
                <w:rFonts w:ascii="Arial" w:hAnsi="Arial" w:cs="Arial"/>
              </w:rPr>
              <w:t>run</w:t>
            </w:r>
            <w:r w:rsidR="00DA23A7">
              <w:rPr>
                <w:rFonts w:ascii="Arial" w:hAnsi="Arial" w:cs="Arial"/>
              </w:rPr>
              <w:t xml:space="preserve"> any </w:t>
            </w:r>
            <w:r w:rsidRPr="00C70A09">
              <w:rPr>
                <w:rFonts w:ascii="Arial" w:hAnsi="Arial" w:cs="Arial"/>
              </w:rPr>
              <w:t xml:space="preserve"> </w:t>
            </w:r>
            <w:r w:rsidRPr="00C70A09">
              <w:rPr>
                <w:rFonts w:ascii="Arial" w:hAnsi="Arial" w:cs="Arial"/>
              </w:rPr>
              <w:lastRenderedPageBreak/>
              <w:t>d</w:t>
            </w:r>
            <w:r>
              <w:rPr>
                <w:rFonts w:ascii="Arial" w:hAnsi="Arial" w:cs="Arial"/>
              </w:rPr>
              <w:t>evelopment programmes for co-operatives</w:t>
            </w:r>
          </w:p>
        </w:tc>
        <w:tc>
          <w:tcPr>
            <w:tcW w:w="3118" w:type="dxa"/>
          </w:tcPr>
          <w:p w:rsidR="008F239E" w:rsidRPr="000E5882" w:rsidRDefault="008F239E" w:rsidP="00DA23A7">
            <w:pPr>
              <w:spacing w:before="100" w:beforeAutospacing="1" w:after="100" w:afterAutospacing="1"/>
              <w:jc w:val="both"/>
              <w:rPr>
                <w:rFonts w:ascii="Arial" w:hAnsi="Arial" w:cs="Arial"/>
              </w:rPr>
            </w:pPr>
            <w:r>
              <w:rPr>
                <w:rFonts w:ascii="Arial" w:hAnsi="Arial" w:cs="Arial"/>
              </w:rPr>
              <w:lastRenderedPageBreak/>
              <w:t xml:space="preserve">ECIC is runing an enterprise and supplier development </w:t>
            </w:r>
            <w:r>
              <w:rPr>
                <w:rFonts w:ascii="Arial" w:hAnsi="Arial" w:cs="Arial"/>
              </w:rPr>
              <w:lastRenderedPageBreak/>
              <w:t xml:space="preserve">programme </w:t>
            </w:r>
            <w:r w:rsidR="00E36881">
              <w:rPr>
                <w:rFonts w:ascii="Arial" w:hAnsi="Arial" w:cs="Arial"/>
              </w:rPr>
              <w:t xml:space="preserve">for its suppliers </w:t>
            </w:r>
            <w:r>
              <w:rPr>
                <w:rFonts w:ascii="Arial" w:hAnsi="Arial" w:cs="Arial"/>
              </w:rPr>
              <w:t xml:space="preserve">since 2014. </w:t>
            </w:r>
            <w:r w:rsidR="00DA23A7">
              <w:rPr>
                <w:rFonts w:ascii="Arial" w:hAnsi="Arial" w:cs="Arial"/>
              </w:rPr>
              <w:t xml:space="preserve">The development offered was that of SME related training. </w:t>
            </w:r>
          </w:p>
        </w:tc>
        <w:tc>
          <w:tcPr>
            <w:tcW w:w="2409" w:type="dxa"/>
          </w:tcPr>
          <w:p w:rsidR="008F239E" w:rsidRPr="000E5882" w:rsidRDefault="008F239E" w:rsidP="00564682">
            <w:pPr>
              <w:spacing w:before="100" w:beforeAutospacing="1" w:after="100" w:afterAutospacing="1"/>
              <w:jc w:val="both"/>
              <w:rPr>
                <w:rFonts w:ascii="Arial" w:hAnsi="Arial" w:cs="Arial"/>
              </w:rPr>
            </w:pPr>
            <w:r>
              <w:rPr>
                <w:rFonts w:ascii="Arial" w:hAnsi="Arial" w:cs="Arial"/>
              </w:rPr>
              <w:lastRenderedPageBreak/>
              <w:t>R14m</w:t>
            </w:r>
          </w:p>
        </w:tc>
        <w:tc>
          <w:tcPr>
            <w:tcW w:w="2583" w:type="dxa"/>
          </w:tcPr>
          <w:p w:rsidR="008F239E" w:rsidRPr="000E5882" w:rsidRDefault="00DA23A7" w:rsidP="00416636">
            <w:pPr>
              <w:spacing w:before="100" w:beforeAutospacing="1" w:after="100" w:afterAutospacing="1"/>
              <w:jc w:val="both"/>
              <w:rPr>
                <w:rFonts w:ascii="Arial" w:hAnsi="Arial" w:cs="Arial"/>
              </w:rPr>
            </w:pPr>
            <w:r>
              <w:rPr>
                <w:rFonts w:ascii="Arial" w:hAnsi="Arial" w:cs="Arial"/>
              </w:rPr>
              <w:t xml:space="preserve">At this current stage the number of sustained </w:t>
            </w:r>
            <w:r>
              <w:rPr>
                <w:rFonts w:ascii="Arial" w:hAnsi="Arial" w:cs="Arial"/>
              </w:rPr>
              <w:lastRenderedPageBreak/>
              <w:t xml:space="preserve">jobs is 133 as reported by the SMEs. </w:t>
            </w:r>
            <w:r w:rsidR="00416636">
              <w:rPr>
                <w:rFonts w:ascii="Arial" w:hAnsi="Arial" w:cs="Arial"/>
              </w:rPr>
              <w:t>ECIC</w:t>
            </w:r>
            <w:r>
              <w:rPr>
                <w:rFonts w:ascii="Arial" w:hAnsi="Arial" w:cs="Arial"/>
              </w:rPr>
              <w:t xml:space="preserve"> have no indication of how many jobs will be created in 2016/17 FY. It is however anticipated that as the SMEs grow they will create more jobs.</w:t>
            </w:r>
          </w:p>
        </w:tc>
      </w:tr>
      <w:tr w:rsidR="007B27B1" w:rsidRPr="000E5882" w:rsidTr="007B27B1">
        <w:tc>
          <w:tcPr>
            <w:tcW w:w="2127" w:type="dxa"/>
          </w:tcPr>
          <w:p w:rsidR="007B27B1" w:rsidRPr="000E5882" w:rsidRDefault="007B27B1" w:rsidP="00086D4E">
            <w:pPr>
              <w:jc w:val="both"/>
              <w:rPr>
                <w:rFonts w:ascii="Arial" w:hAnsi="Arial" w:cs="Arial"/>
                <w:b/>
                <w:bCs/>
              </w:rPr>
            </w:pPr>
            <w:r w:rsidRPr="000E5882">
              <w:rPr>
                <w:rFonts w:ascii="Arial" w:hAnsi="Arial" w:cs="Arial"/>
                <w:b/>
                <w:bCs/>
              </w:rPr>
              <w:lastRenderedPageBreak/>
              <w:t>National Empowerment Fund (NEF)</w:t>
            </w:r>
          </w:p>
        </w:tc>
        <w:tc>
          <w:tcPr>
            <w:tcW w:w="2126" w:type="dxa"/>
          </w:tcPr>
          <w:p w:rsidR="007B27B1" w:rsidRPr="000E5882" w:rsidRDefault="007B27B1" w:rsidP="00564682">
            <w:pPr>
              <w:spacing w:before="100" w:beforeAutospacing="1" w:after="100" w:afterAutospacing="1"/>
              <w:jc w:val="both"/>
              <w:rPr>
                <w:rFonts w:ascii="Arial" w:hAnsi="Arial" w:cs="Arial"/>
              </w:rPr>
            </w:pPr>
            <w:r>
              <w:rPr>
                <w:rFonts w:ascii="Arial" w:hAnsi="Arial" w:cs="Arial"/>
              </w:rPr>
              <w:t xml:space="preserve">The NEF does </w:t>
            </w:r>
            <w:r w:rsidRPr="00C70A09">
              <w:rPr>
                <w:rFonts w:ascii="Arial" w:hAnsi="Arial" w:cs="Arial"/>
              </w:rPr>
              <w:t xml:space="preserve"> run development programmes for small business</w:t>
            </w:r>
          </w:p>
        </w:tc>
        <w:tc>
          <w:tcPr>
            <w:tcW w:w="1985" w:type="dxa"/>
          </w:tcPr>
          <w:p w:rsidR="007B27B1" w:rsidRPr="000E5882" w:rsidRDefault="007B27B1" w:rsidP="00564682">
            <w:pPr>
              <w:spacing w:before="100" w:beforeAutospacing="1" w:after="100" w:afterAutospacing="1"/>
              <w:jc w:val="both"/>
              <w:rPr>
                <w:rFonts w:ascii="Arial" w:hAnsi="Arial" w:cs="Arial"/>
              </w:rPr>
            </w:pPr>
            <w:r>
              <w:rPr>
                <w:rFonts w:ascii="Arial" w:hAnsi="Arial" w:cs="Arial"/>
              </w:rPr>
              <w:t xml:space="preserve">The NEF does </w:t>
            </w:r>
            <w:r w:rsidRPr="00C70A09">
              <w:rPr>
                <w:rFonts w:ascii="Arial" w:hAnsi="Arial" w:cs="Arial"/>
              </w:rPr>
              <w:t xml:space="preserve"> run d</w:t>
            </w:r>
            <w:r>
              <w:rPr>
                <w:rFonts w:ascii="Arial" w:hAnsi="Arial" w:cs="Arial"/>
              </w:rPr>
              <w:t>evelopment programmes for co-operatives</w:t>
            </w:r>
          </w:p>
        </w:tc>
        <w:tc>
          <w:tcPr>
            <w:tcW w:w="3118" w:type="dxa"/>
          </w:tcPr>
          <w:p w:rsidR="007B27B1" w:rsidRPr="00EE15D4" w:rsidRDefault="00416636" w:rsidP="00564682">
            <w:pPr>
              <w:spacing w:before="100" w:beforeAutospacing="1" w:after="100" w:afterAutospacing="1"/>
              <w:jc w:val="both"/>
              <w:rPr>
                <w:rFonts w:ascii="Arial" w:hAnsi="Arial" w:cs="Arial"/>
              </w:rPr>
            </w:pPr>
            <w:r>
              <w:rPr>
                <w:rFonts w:ascii="Arial" w:hAnsi="Arial" w:cs="Arial"/>
              </w:rPr>
              <w:t>The NEF</w:t>
            </w:r>
            <w:r w:rsidR="007B27B1" w:rsidRPr="00EE15D4">
              <w:rPr>
                <w:rFonts w:ascii="Arial" w:hAnsi="Arial" w:cs="Arial"/>
              </w:rPr>
              <w:t xml:space="preserve"> provide financial and non-financial support through its two funds namely iMbewu Fund (iMbewu) and Rural and Community Development Fund (RCDF)</w:t>
            </w:r>
          </w:p>
        </w:tc>
        <w:tc>
          <w:tcPr>
            <w:tcW w:w="2409" w:type="dxa"/>
          </w:tcPr>
          <w:p w:rsidR="007B27B1" w:rsidRDefault="007B27B1" w:rsidP="00564682">
            <w:pPr>
              <w:spacing w:before="100" w:beforeAutospacing="1" w:after="100" w:afterAutospacing="1"/>
              <w:jc w:val="both"/>
              <w:rPr>
                <w:rFonts w:ascii="Arial" w:hAnsi="Arial" w:cs="Arial"/>
              </w:rPr>
            </w:pPr>
            <w:r>
              <w:rPr>
                <w:rFonts w:ascii="Arial" w:hAnsi="Arial" w:cs="Arial"/>
              </w:rPr>
              <w:t>iMbewu – R346m</w:t>
            </w:r>
          </w:p>
          <w:p w:rsidR="007B27B1" w:rsidRPr="000E5882" w:rsidRDefault="007B27B1" w:rsidP="00564682">
            <w:pPr>
              <w:spacing w:before="100" w:beforeAutospacing="1" w:after="100" w:afterAutospacing="1"/>
              <w:jc w:val="both"/>
              <w:rPr>
                <w:rFonts w:ascii="Arial" w:hAnsi="Arial" w:cs="Arial"/>
              </w:rPr>
            </w:pPr>
            <w:r>
              <w:rPr>
                <w:rFonts w:ascii="Arial" w:hAnsi="Arial" w:cs="Arial"/>
              </w:rPr>
              <w:t>RCDF – R150m</w:t>
            </w:r>
          </w:p>
        </w:tc>
        <w:tc>
          <w:tcPr>
            <w:tcW w:w="2583" w:type="dxa"/>
          </w:tcPr>
          <w:p w:rsidR="007B27B1" w:rsidRDefault="007B27B1" w:rsidP="004C2B72">
            <w:pPr>
              <w:spacing w:before="100" w:beforeAutospacing="1" w:after="100" w:afterAutospacing="1"/>
              <w:jc w:val="both"/>
              <w:rPr>
                <w:rFonts w:ascii="Arial" w:hAnsi="Arial" w:cs="Arial"/>
              </w:rPr>
            </w:pPr>
            <w:r>
              <w:rPr>
                <w:rFonts w:ascii="Arial" w:hAnsi="Arial" w:cs="Arial"/>
              </w:rPr>
              <w:t>iMbewu – 2 700</w:t>
            </w:r>
          </w:p>
          <w:p w:rsidR="007B27B1" w:rsidRPr="000E5882" w:rsidRDefault="007B27B1" w:rsidP="00EE15D4">
            <w:pPr>
              <w:spacing w:after="100" w:afterAutospacing="1"/>
              <w:jc w:val="both"/>
              <w:rPr>
                <w:rFonts w:ascii="Arial" w:hAnsi="Arial" w:cs="Arial"/>
              </w:rPr>
            </w:pPr>
            <w:r>
              <w:rPr>
                <w:rFonts w:ascii="Arial" w:hAnsi="Arial" w:cs="Arial"/>
              </w:rPr>
              <w:t>RCDF – 1200</w:t>
            </w:r>
          </w:p>
        </w:tc>
      </w:tr>
      <w:tr w:rsidR="007B27B1" w:rsidRPr="000E5882" w:rsidTr="007B27B1">
        <w:tc>
          <w:tcPr>
            <w:tcW w:w="2127" w:type="dxa"/>
          </w:tcPr>
          <w:p w:rsidR="007B27B1" w:rsidRPr="000E5882" w:rsidRDefault="007B27B1" w:rsidP="00086D4E">
            <w:pPr>
              <w:jc w:val="both"/>
              <w:rPr>
                <w:rFonts w:ascii="Arial" w:hAnsi="Arial" w:cs="Arial"/>
                <w:b/>
                <w:bCs/>
              </w:rPr>
            </w:pPr>
            <w:r w:rsidRPr="000E5882">
              <w:rPr>
                <w:rFonts w:ascii="Arial" w:hAnsi="Arial" w:cs="Arial"/>
                <w:b/>
                <w:bCs/>
              </w:rPr>
              <w:t>National Metrology Institute of South Africa  (NMISA)</w:t>
            </w:r>
          </w:p>
        </w:tc>
        <w:tc>
          <w:tcPr>
            <w:tcW w:w="2126" w:type="dxa"/>
          </w:tcPr>
          <w:p w:rsidR="007B27B1" w:rsidRPr="0045341B" w:rsidRDefault="007B27B1" w:rsidP="0045341B">
            <w:pPr>
              <w:spacing w:before="100" w:beforeAutospacing="1" w:after="100" w:afterAutospacing="1"/>
              <w:jc w:val="both"/>
              <w:rPr>
                <w:rFonts w:ascii="Arial" w:hAnsi="Arial" w:cs="Arial"/>
              </w:rPr>
            </w:pPr>
            <w:r>
              <w:rPr>
                <w:rFonts w:ascii="Arial" w:hAnsi="Arial" w:cs="Arial"/>
              </w:rPr>
              <w:t xml:space="preserve">The NMISA does </w:t>
            </w:r>
            <w:r w:rsidRPr="00C70A09">
              <w:rPr>
                <w:rFonts w:ascii="Arial" w:hAnsi="Arial" w:cs="Arial"/>
              </w:rPr>
              <w:t xml:space="preserve"> run development programmes for small business</w:t>
            </w:r>
          </w:p>
        </w:tc>
        <w:tc>
          <w:tcPr>
            <w:tcW w:w="1985" w:type="dxa"/>
          </w:tcPr>
          <w:p w:rsidR="007B27B1" w:rsidRPr="0045341B" w:rsidRDefault="007B27B1" w:rsidP="0045341B">
            <w:pPr>
              <w:spacing w:before="100" w:beforeAutospacing="1" w:after="100" w:afterAutospacing="1" w:line="276" w:lineRule="auto"/>
              <w:jc w:val="both"/>
              <w:rPr>
                <w:rFonts w:ascii="Arial" w:hAnsi="Arial" w:cs="Arial"/>
              </w:rPr>
            </w:pPr>
            <w:r>
              <w:rPr>
                <w:rFonts w:ascii="Arial" w:hAnsi="Arial" w:cs="Arial"/>
              </w:rPr>
              <w:t xml:space="preserve">The NMISA does </w:t>
            </w:r>
            <w:r w:rsidRPr="00C70A09">
              <w:rPr>
                <w:rFonts w:ascii="Arial" w:hAnsi="Arial" w:cs="Arial"/>
              </w:rPr>
              <w:t xml:space="preserve"> run d</w:t>
            </w:r>
            <w:r>
              <w:rPr>
                <w:rFonts w:ascii="Arial" w:hAnsi="Arial" w:cs="Arial"/>
              </w:rPr>
              <w:t>evelopment programmes for co-operatives</w:t>
            </w:r>
          </w:p>
        </w:tc>
        <w:tc>
          <w:tcPr>
            <w:tcW w:w="3118" w:type="dxa"/>
          </w:tcPr>
          <w:p w:rsidR="007B27B1" w:rsidRPr="0045341B" w:rsidRDefault="007B27B1" w:rsidP="00EE15D4">
            <w:pPr>
              <w:spacing w:line="276" w:lineRule="auto"/>
              <w:jc w:val="both"/>
              <w:rPr>
                <w:rFonts w:ascii="Arial" w:hAnsi="Arial" w:cs="Arial"/>
              </w:rPr>
            </w:pPr>
            <w:r w:rsidRPr="0045341B">
              <w:rPr>
                <w:rFonts w:ascii="Arial" w:hAnsi="Arial" w:cs="Arial"/>
              </w:rPr>
              <w:t>NMISA has a dedicated programme to assist SMEs to understand Technical Infrastructure issues in their organisations and to measure the level of impact quality infrastructure (QI) has on their specific business. A Measurement Toolkit is used to both train the SMEs in QI and to gauge the level of intervention needed. Focused intervention is th</w:t>
            </w:r>
            <w:r>
              <w:rPr>
                <w:rFonts w:ascii="Arial" w:hAnsi="Arial" w:cs="Arial"/>
              </w:rPr>
              <w:t xml:space="preserve">en performed with specific SMEs </w:t>
            </w:r>
            <w:r w:rsidRPr="0045341B">
              <w:rPr>
                <w:rFonts w:ascii="Arial" w:hAnsi="Arial" w:cs="Arial"/>
              </w:rPr>
              <w:t>(and Cooperatives).</w:t>
            </w:r>
            <w:r>
              <w:rPr>
                <w:rFonts w:ascii="Arial" w:hAnsi="Arial" w:cs="Arial"/>
              </w:rPr>
              <w:t xml:space="preserve"> </w:t>
            </w:r>
          </w:p>
        </w:tc>
        <w:tc>
          <w:tcPr>
            <w:tcW w:w="2409" w:type="dxa"/>
          </w:tcPr>
          <w:p w:rsidR="007B27B1" w:rsidRPr="0045341B" w:rsidRDefault="007B27B1" w:rsidP="004C2B72">
            <w:pPr>
              <w:spacing w:before="100" w:beforeAutospacing="1" w:after="100" w:afterAutospacing="1" w:line="276" w:lineRule="auto"/>
              <w:jc w:val="both"/>
              <w:rPr>
                <w:rFonts w:ascii="Arial" w:hAnsi="Arial" w:cs="Arial"/>
              </w:rPr>
            </w:pPr>
            <w:r>
              <w:rPr>
                <w:rFonts w:ascii="Arial" w:hAnsi="Arial" w:cs="Arial"/>
              </w:rPr>
              <w:t>R1,6m</w:t>
            </w:r>
          </w:p>
        </w:tc>
        <w:tc>
          <w:tcPr>
            <w:tcW w:w="2583" w:type="dxa"/>
          </w:tcPr>
          <w:p w:rsidR="007B27B1" w:rsidRPr="0045341B" w:rsidRDefault="007B27B1" w:rsidP="0045341B">
            <w:pPr>
              <w:spacing w:before="100" w:beforeAutospacing="1" w:after="100" w:afterAutospacing="1" w:line="276" w:lineRule="auto"/>
              <w:jc w:val="both"/>
              <w:rPr>
                <w:rFonts w:ascii="Arial" w:hAnsi="Arial" w:cs="Arial"/>
              </w:rPr>
            </w:pPr>
            <w:r w:rsidRPr="0045341B">
              <w:rPr>
                <w:rFonts w:ascii="Arial" w:hAnsi="Arial" w:cs="Arial"/>
              </w:rPr>
              <w:t>NMISA has no mechanism to determine the number of jobs created through this activity. If internationally developed guidelines are used to convert investment in QI into job creation, the activity supports approximately 7 000 jobs.</w:t>
            </w:r>
          </w:p>
        </w:tc>
      </w:tr>
      <w:tr w:rsidR="003001A1" w:rsidRPr="000E5882" w:rsidTr="007B27B1">
        <w:tc>
          <w:tcPr>
            <w:tcW w:w="2127" w:type="dxa"/>
            <w:vMerge w:val="restart"/>
          </w:tcPr>
          <w:p w:rsidR="003001A1" w:rsidRPr="000E5882" w:rsidRDefault="003001A1" w:rsidP="00086D4E">
            <w:pPr>
              <w:jc w:val="both"/>
              <w:rPr>
                <w:rFonts w:ascii="Arial" w:hAnsi="Arial" w:cs="Arial"/>
                <w:b/>
                <w:bCs/>
              </w:rPr>
            </w:pPr>
            <w:r w:rsidRPr="000E5882">
              <w:rPr>
                <w:rFonts w:ascii="Arial" w:hAnsi="Arial" w:cs="Arial"/>
                <w:b/>
                <w:bCs/>
              </w:rPr>
              <w:t xml:space="preserve">South African Bureau of </w:t>
            </w:r>
            <w:r w:rsidRPr="000E5882">
              <w:rPr>
                <w:rFonts w:ascii="Arial" w:hAnsi="Arial" w:cs="Arial"/>
                <w:b/>
                <w:bCs/>
              </w:rPr>
              <w:lastRenderedPageBreak/>
              <w:t>Standards (SABS)</w:t>
            </w:r>
          </w:p>
        </w:tc>
        <w:tc>
          <w:tcPr>
            <w:tcW w:w="2126" w:type="dxa"/>
            <w:vMerge w:val="restart"/>
          </w:tcPr>
          <w:p w:rsidR="003001A1" w:rsidRPr="0045341B" w:rsidRDefault="003001A1" w:rsidP="00101115">
            <w:pPr>
              <w:spacing w:before="100" w:beforeAutospacing="1" w:after="100" w:afterAutospacing="1"/>
              <w:jc w:val="both"/>
              <w:rPr>
                <w:rFonts w:ascii="Arial" w:hAnsi="Arial" w:cs="Arial"/>
              </w:rPr>
            </w:pPr>
            <w:r>
              <w:rPr>
                <w:rFonts w:ascii="Arial" w:hAnsi="Arial" w:cs="Arial"/>
              </w:rPr>
              <w:lastRenderedPageBreak/>
              <w:t xml:space="preserve">The SABS does </w:t>
            </w:r>
            <w:r w:rsidRPr="00C70A09">
              <w:rPr>
                <w:rFonts w:ascii="Arial" w:hAnsi="Arial" w:cs="Arial"/>
              </w:rPr>
              <w:t xml:space="preserve"> run development </w:t>
            </w:r>
            <w:r w:rsidRPr="00C70A09">
              <w:rPr>
                <w:rFonts w:ascii="Arial" w:hAnsi="Arial" w:cs="Arial"/>
              </w:rPr>
              <w:lastRenderedPageBreak/>
              <w:t>programmes for small business</w:t>
            </w:r>
          </w:p>
        </w:tc>
        <w:tc>
          <w:tcPr>
            <w:tcW w:w="1985" w:type="dxa"/>
            <w:vMerge w:val="restart"/>
          </w:tcPr>
          <w:p w:rsidR="003001A1" w:rsidRPr="0045341B" w:rsidRDefault="003001A1" w:rsidP="00540F7C">
            <w:pPr>
              <w:spacing w:before="100" w:beforeAutospacing="1" w:after="100" w:afterAutospacing="1" w:line="276" w:lineRule="auto"/>
              <w:jc w:val="both"/>
              <w:rPr>
                <w:rFonts w:ascii="Arial" w:hAnsi="Arial" w:cs="Arial"/>
              </w:rPr>
            </w:pPr>
            <w:r>
              <w:rPr>
                <w:rFonts w:ascii="Arial" w:hAnsi="Arial" w:cs="Arial"/>
              </w:rPr>
              <w:lastRenderedPageBreak/>
              <w:t xml:space="preserve">The SABS does </w:t>
            </w:r>
            <w:r w:rsidRPr="00C70A09">
              <w:rPr>
                <w:rFonts w:ascii="Arial" w:hAnsi="Arial" w:cs="Arial"/>
              </w:rPr>
              <w:t xml:space="preserve"> </w:t>
            </w:r>
            <w:r w:rsidRPr="00C70A09">
              <w:rPr>
                <w:rFonts w:ascii="Arial" w:hAnsi="Arial" w:cs="Arial"/>
              </w:rPr>
              <w:lastRenderedPageBreak/>
              <w:t>run d</w:t>
            </w:r>
            <w:r>
              <w:rPr>
                <w:rFonts w:ascii="Arial" w:hAnsi="Arial" w:cs="Arial"/>
              </w:rPr>
              <w:t>evelopment programmes for co-operatives</w:t>
            </w:r>
          </w:p>
        </w:tc>
        <w:tc>
          <w:tcPr>
            <w:tcW w:w="3118" w:type="dxa"/>
          </w:tcPr>
          <w:p w:rsidR="003001A1" w:rsidRPr="003001A1" w:rsidRDefault="003001A1" w:rsidP="003001A1">
            <w:pPr>
              <w:spacing w:before="100" w:beforeAutospacing="1" w:after="100" w:afterAutospacing="1"/>
              <w:jc w:val="both"/>
              <w:rPr>
                <w:rFonts w:ascii="Arial" w:hAnsi="Arial" w:cs="Arial"/>
              </w:rPr>
            </w:pPr>
            <w:r w:rsidRPr="003001A1">
              <w:rPr>
                <w:rFonts w:ascii="Arial" w:hAnsi="Arial" w:cs="Arial"/>
                <w:b/>
              </w:rPr>
              <w:lastRenderedPageBreak/>
              <w:t>Certification and Testing</w:t>
            </w:r>
            <w:r w:rsidRPr="003001A1">
              <w:rPr>
                <w:rFonts w:ascii="Arial" w:hAnsi="Arial" w:cs="Arial"/>
              </w:rPr>
              <w:t xml:space="preserve"> - </w:t>
            </w:r>
            <w:r w:rsidRPr="003001A1">
              <w:rPr>
                <w:rFonts w:ascii="Arial" w:hAnsi="Arial" w:cs="Arial"/>
                <w:color w:val="000000" w:themeColor="text1"/>
              </w:rPr>
              <w:t xml:space="preserve">The SABS work with SME’s </w:t>
            </w:r>
            <w:r w:rsidRPr="003001A1">
              <w:rPr>
                <w:rFonts w:ascii="Arial" w:hAnsi="Arial" w:cs="Arial"/>
                <w:color w:val="000000" w:themeColor="text1"/>
              </w:rPr>
              <w:lastRenderedPageBreak/>
              <w:t>in the development and implementation of quality management system, testing of product and certification.</w:t>
            </w:r>
          </w:p>
        </w:tc>
        <w:tc>
          <w:tcPr>
            <w:tcW w:w="2409" w:type="dxa"/>
          </w:tcPr>
          <w:p w:rsidR="003001A1" w:rsidRPr="003001A1" w:rsidRDefault="003001A1" w:rsidP="00564682">
            <w:pPr>
              <w:spacing w:before="100" w:beforeAutospacing="1" w:after="100" w:afterAutospacing="1"/>
              <w:jc w:val="both"/>
              <w:rPr>
                <w:rFonts w:ascii="Arial" w:hAnsi="Arial" w:cs="Arial"/>
              </w:rPr>
            </w:pPr>
            <w:r w:rsidRPr="003001A1">
              <w:rPr>
                <w:rFonts w:ascii="Arial" w:hAnsi="Arial" w:cs="Arial"/>
                <w:color w:val="000000" w:themeColor="text1"/>
              </w:rPr>
              <w:lastRenderedPageBreak/>
              <w:t xml:space="preserve">Funding is provided by the various </w:t>
            </w:r>
            <w:r w:rsidRPr="003001A1">
              <w:rPr>
                <w:rFonts w:ascii="Arial" w:hAnsi="Arial" w:cs="Arial"/>
                <w:color w:val="000000" w:themeColor="text1"/>
              </w:rPr>
              <w:lastRenderedPageBreak/>
              <w:t>provincial departments and agencies such as SEDA</w:t>
            </w:r>
          </w:p>
        </w:tc>
        <w:tc>
          <w:tcPr>
            <w:tcW w:w="2583" w:type="dxa"/>
          </w:tcPr>
          <w:p w:rsidR="003001A1" w:rsidRPr="003001A1" w:rsidRDefault="003001A1">
            <w:pPr>
              <w:rPr>
                <w:rFonts w:ascii="Arial" w:hAnsi="Arial" w:cs="Arial"/>
              </w:rPr>
            </w:pPr>
            <w:r w:rsidRPr="003001A1">
              <w:rPr>
                <w:rFonts w:ascii="Arial" w:hAnsi="Arial" w:cs="Arial"/>
                <w:color w:val="000000" w:themeColor="text1"/>
              </w:rPr>
              <w:lastRenderedPageBreak/>
              <w:t xml:space="preserve">Direct impact on jobs is estimated by  funding </w:t>
            </w:r>
            <w:r w:rsidRPr="003001A1">
              <w:rPr>
                <w:rFonts w:ascii="Arial" w:hAnsi="Arial" w:cs="Arial"/>
                <w:color w:val="000000" w:themeColor="text1"/>
              </w:rPr>
              <w:lastRenderedPageBreak/>
              <w:t>agencies themselves</w:t>
            </w:r>
          </w:p>
        </w:tc>
      </w:tr>
      <w:tr w:rsidR="003001A1" w:rsidRPr="000E5882" w:rsidTr="004C0D7B">
        <w:trPr>
          <w:trHeight w:val="2213"/>
        </w:trPr>
        <w:tc>
          <w:tcPr>
            <w:tcW w:w="2127" w:type="dxa"/>
            <w:vMerge/>
          </w:tcPr>
          <w:p w:rsidR="003001A1" w:rsidRPr="000E5882" w:rsidRDefault="003001A1" w:rsidP="00086D4E">
            <w:pPr>
              <w:jc w:val="both"/>
              <w:rPr>
                <w:rFonts w:ascii="Arial" w:hAnsi="Arial" w:cs="Arial"/>
                <w:b/>
                <w:bCs/>
              </w:rPr>
            </w:pPr>
          </w:p>
        </w:tc>
        <w:tc>
          <w:tcPr>
            <w:tcW w:w="2126" w:type="dxa"/>
            <w:vMerge/>
          </w:tcPr>
          <w:p w:rsidR="003001A1" w:rsidRDefault="003001A1" w:rsidP="00101115">
            <w:pPr>
              <w:spacing w:before="100" w:beforeAutospacing="1" w:after="100" w:afterAutospacing="1"/>
              <w:jc w:val="both"/>
              <w:rPr>
                <w:rFonts w:ascii="Arial" w:hAnsi="Arial" w:cs="Arial"/>
              </w:rPr>
            </w:pPr>
          </w:p>
        </w:tc>
        <w:tc>
          <w:tcPr>
            <w:tcW w:w="1985" w:type="dxa"/>
            <w:vMerge/>
          </w:tcPr>
          <w:p w:rsidR="003001A1" w:rsidRDefault="003001A1" w:rsidP="004F6449">
            <w:pPr>
              <w:spacing w:before="100" w:beforeAutospacing="1" w:after="100" w:afterAutospacing="1"/>
              <w:jc w:val="both"/>
              <w:rPr>
                <w:rFonts w:ascii="Arial" w:hAnsi="Arial" w:cs="Arial"/>
              </w:rPr>
            </w:pPr>
          </w:p>
        </w:tc>
        <w:tc>
          <w:tcPr>
            <w:tcW w:w="3118" w:type="dxa"/>
          </w:tcPr>
          <w:p w:rsidR="003001A1" w:rsidRPr="003001A1" w:rsidRDefault="003001A1" w:rsidP="003001A1">
            <w:pPr>
              <w:spacing w:after="200" w:line="276" w:lineRule="auto"/>
              <w:rPr>
                <w:rFonts w:ascii="Arial" w:eastAsiaTheme="minorHAnsi" w:hAnsi="Arial" w:cs="Arial"/>
                <w:lang w:val="en-ZA"/>
              </w:rPr>
            </w:pPr>
            <w:r w:rsidRPr="003001A1">
              <w:rPr>
                <w:rFonts w:ascii="Arial" w:hAnsi="Arial" w:cs="Arial"/>
                <w:b/>
              </w:rPr>
              <w:t>Design and Innovation interventions</w:t>
            </w:r>
            <w:r w:rsidRPr="003001A1">
              <w:rPr>
                <w:rFonts w:ascii="Arial" w:eastAsiaTheme="minorHAnsi" w:hAnsi="Arial" w:cs="Arial"/>
                <w:lang w:val="en-ZA"/>
              </w:rPr>
              <w:t xml:space="preserve"> - </w:t>
            </w:r>
            <w:r w:rsidRPr="00540F7C">
              <w:rPr>
                <w:rFonts w:ascii="Arial" w:eastAsiaTheme="minorHAnsi" w:hAnsi="Arial" w:cs="Arial"/>
                <w:lang w:val="en-ZA"/>
              </w:rPr>
              <w:t>The SABS Design Institute provides development and support to entrepreneurs and SMME using design thinking and methodologie</w:t>
            </w:r>
            <w:r>
              <w:rPr>
                <w:rFonts w:ascii="Arial" w:eastAsiaTheme="minorHAnsi" w:hAnsi="Arial" w:cs="Arial"/>
                <w:lang w:val="en-ZA"/>
              </w:rPr>
              <w:t xml:space="preserve">s to improve competitiveness.  </w:t>
            </w:r>
          </w:p>
        </w:tc>
        <w:tc>
          <w:tcPr>
            <w:tcW w:w="2409" w:type="dxa"/>
          </w:tcPr>
          <w:p w:rsidR="003001A1" w:rsidRPr="00540F7C" w:rsidRDefault="003001A1" w:rsidP="003001A1">
            <w:pPr>
              <w:spacing w:after="200" w:line="276" w:lineRule="auto"/>
              <w:rPr>
                <w:rFonts w:ascii="Arial" w:eastAsiaTheme="minorHAnsi" w:hAnsi="Arial" w:cs="Arial"/>
                <w:lang w:val="en-ZA"/>
              </w:rPr>
            </w:pPr>
            <w:r w:rsidRPr="00540F7C">
              <w:rPr>
                <w:rFonts w:ascii="Arial" w:eastAsiaTheme="minorHAnsi" w:hAnsi="Arial" w:cs="Arial"/>
                <w:color w:val="000000" w:themeColor="text1"/>
                <w:lang w:val="en-ZA"/>
              </w:rPr>
              <w:t>Funding for these activities is also provided by various government agencies and departments.</w:t>
            </w:r>
          </w:p>
          <w:p w:rsidR="003001A1" w:rsidRPr="003001A1" w:rsidRDefault="003001A1" w:rsidP="00101115">
            <w:pPr>
              <w:rPr>
                <w:rFonts w:ascii="Arial" w:hAnsi="Arial" w:cs="Arial"/>
              </w:rPr>
            </w:pPr>
          </w:p>
        </w:tc>
        <w:tc>
          <w:tcPr>
            <w:tcW w:w="2583" w:type="dxa"/>
          </w:tcPr>
          <w:p w:rsidR="003001A1" w:rsidRPr="003001A1" w:rsidRDefault="003001A1">
            <w:pPr>
              <w:rPr>
                <w:rFonts w:ascii="Arial" w:hAnsi="Arial" w:cs="Arial"/>
              </w:rPr>
            </w:pPr>
            <w:r w:rsidRPr="003001A1">
              <w:rPr>
                <w:rFonts w:ascii="Arial" w:hAnsi="Arial" w:cs="Arial"/>
                <w:color w:val="000000" w:themeColor="text1"/>
              </w:rPr>
              <w:t>Direct impact on jobs is estimated by  funding agencies themselves</w:t>
            </w:r>
          </w:p>
        </w:tc>
      </w:tr>
    </w:tbl>
    <w:p w:rsidR="000E5882" w:rsidRPr="000E5882" w:rsidRDefault="000E5882" w:rsidP="000E5882">
      <w:pPr>
        <w:spacing w:after="0" w:line="240" w:lineRule="auto"/>
        <w:rPr>
          <w:rFonts w:ascii="Arial" w:eastAsia="Arial Unicode MS" w:hAnsi="Arial" w:cs="Arial"/>
          <w:b/>
          <w:lang w:val="en-ZA"/>
        </w:rPr>
      </w:pPr>
    </w:p>
    <w:p w:rsidR="000E5882" w:rsidRPr="000E5882" w:rsidRDefault="000E5882" w:rsidP="000E5882">
      <w:pPr>
        <w:spacing w:after="0" w:line="240" w:lineRule="auto"/>
        <w:rPr>
          <w:rFonts w:ascii="Arial" w:eastAsia="Arial Unicode MS" w:hAnsi="Arial" w:cs="Arial"/>
          <w:b/>
          <w:lang w:val="en-ZA"/>
        </w:rPr>
      </w:pPr>
    </w:p>
    <w:sectPr w:rsidR="000E5882" w:rsidRPr="000E5882" w:rsidSect="0045341B">
      <w:headerReference w:type="default" r:id="rId8"/>
      <w:footerReference w:type="default" r:id="rId9"/>
      <w:pgSz w:w="16838" w:h="11906" w:orient="landscape"/>
      <w:pgMar w:top="1127" w:right="1387" w:bottom="1274" w:left="1276" w:header="708" w:footer="9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5A" w:rsidRDefault="0052385A" w:rsidP="000E5882">
      <w:pPr>
        <w:spacing w:after="0" w:line="240" w:lineRule="auto"/>
      </w:pPr>
      <w:r>
        <w:separator/>
      </w:r>
    </w:p>
  </w:endnote>
  <w:endnote w:type="continuationSeparator" w:id="0">
    <w:p w:rsidR="0052385A" w:rsidRDefault="0052385A" w:rsidP="000E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54373"/>
      <w:docPartObj>
        <w:docPartGallery w:val="Page Numbers (Bottom of Page)"/>
        <w:docPartUnique/>
      </w:docPartObj>
    </w:sdtPr>
    <w:sdtEndPr/>
    <w:sdtContent>
      <w:sdt>
        <w:sdtPr>
          <w:id w:val="860082579"/>
          <w:docPartObj>
            <w:docPartGallery w:val="Page Numbers (Top of Page)"/>
            <w:docPartUnique/>
          </w:docPartObj>
        </w:sdtPr>
        <w:sdtEndPr/>
        <w:sdtContent>
          <w:p w:rsidR="0045341B" w:rsidRDefault="0045341B">
            <w:pPr>
              <w:pStyle w:val="Footer"/>
              <w:jc w:val="right"/>
            </w:pPr>
            <w:r w:rsidRPr="0045341B">
              <w:rPr>
                <w:rFonts w:ascii="Arial" w:hAnsi="Arial" w:cs="Arial"/>
                <w:sz w:val="20"/>
                <w:szCs w:val="20"/>
              </w:rPr>
              <w:t xml:space="preserve">Page </w:t>
            </w:r>
            <w:r w:rsidRPr="0045341B">
              <w:rPr>
                <w:rFonts w:ascii="Arial" w:hAnsi="Arial" w:cs="Arial"/>
                <w:b/>
                <w:bCs/>
                <w:sz w:val="20"/>
                <w:szCs w:val="20"/>
              </w:rPr>
              <w:fldChar w:fldCharType="begin"/>
            </w:r>
            <w:r w:rsidRPr="0045341B">
              <w:rPr>
                <w:rFonts w:ascii="Arial" w:hAnsi="Arial" w:cs="Arial"/>
                <w:b/>
                <w:bCs/>
                <w:sz w:val="20"/>
                <w:szCs w:val="20"/>
              </w:rPr>
              <w:instrText xml:space="preserve"> PAGE </w:instrText>
            </w:r>
            <w:r w:rsidRPr="0045341B">
              <w:rPr>
                <w:rFonts w:ascii="Arial" w:hAnsi="Arial" w:cs="Arial"/>
                <w:b/>
                <w:bCs/>
                <w:sz w:val="20"/>
                <w:szCs w:val="20"/>
              </w:rPr>
              <w:fldChar w:fldCharType="separate"/>
            </w:r>
            <w:r w:rsidR="00742B2B">
              <w:rPr>
                <w:rFonts w:ascii="Arial" w:hAnsi="Arial" w:cs="Arial"/>
                <w:b/>
                <w:bCs/>
                <w:noProof/>
                <w:sz w:val="20"/>
                <w:szCs w:val="20"/>
              </w:rPr>
              <w:t>2</w:t>
            </w:r>
            <w:r w:rsidRPr="0045341B">
              <w:rPr>
                <w:rFonts w:ascii="Arial" w:hAnsi="Arial" w:cs="Arial"/>
                <w:b/>
                <w:bCs/>
                <w:sz w:val="20"/>
                <w:szCs w:val="20"/>
              </w:rPr>
              <w:fldChar w:fldCharType="end"/>
            </w:r>
            <w:r w:rsidRPr="0045341B">
              <w:rPr>
                <w:rFonts w:ascii="Arial" w:hAnsi="Arial" w:cs="Arial"/>
                <w:sz w:val="20"/>
                <w:szCs w:val="20"/>
              </w:rPr>
              <w:t xml:space="preserve"> of </w:t>
            </w:r>
            <w:r w:rsidRPr="0045341B">
              <w:rPr>
                <w:rFonts w:ascii="Arial" w:hAnsi="Arial" w:cs="Arial"/>
                <w:b/>
                <w:bCs/>
                <w:sz w:val="20"/>
                <w:szCs w:val="20"/>
              </w:rPr>
              <w:fldChar w:fldCharType="begin"/>
            </w:r>
            <w:r w:rsidRPr="0045341B">
              <w:rPr>
                <w:rFonts w:ascii="Arial" w:hAnsi="Arial" w:cs="Arial"/>
                <w:b/>
                <w:bCs/>
                <w:sz w:val="20"/>
                <w:szCs w:val="20"/>
              </w:rPr>
              <w:instrText xml:space="preserve"> NUMPAGES  </w:instrText>
            </w:r>
            <w:r w:rsidRPr="0045341B">
              <w:rPr>
                <w:rFonts w:ascii="Arial" w:hAnsi="Arial" w:cs="Arial"/>
                <w:b/>
                <w:bCs/>
                <w:sz w:val="20"/>
                <w:szCs w:val="20"/>
              </w:rPr>
              <w:fldChar w:fldCharType="separate"/>
            </w:r>
            <w:r w:rsidR="00742B2B">
              <w:rPr>
                <w:rFonts w:ascii="Arial" w:hAnsi="Arial" w:cs="Arial"/>
                <w:b/>
                <w:bCs/>
                <w:noProof/>
                <w:sz w:val="20"/>
                <w:szCs w:val="20"/>
              </w:rPr>
              <w:t>3</w:t>
            </w:r>
            <w:r w:rsidRPr="0045341B">
              <w:rPr>
                <w:rFonts w:ascii="Arial" w:hAnsi="Arial" w:cs="Arial"/>
                <w:b/>
                <w:bCs/>
                <w:sz w:val="20"/>
                <w:szCs w:val="20"/>
              </w:rPr>
              <w:fldChar w:fldCharType="end"/>
            </w:r>
          </w:p>
        </w:sdtContent>
      </w:sdt>
    </w:sdtContent>
  </w:sdt>
  <w:p w:rsidR="0045341B" w:rsidRDefault="00453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5A" w:rsidRDefault="0052385A" w:rsidP="000E5882">
      <w:pPr>
        <w:spacing w:after="0" w:line="240" w:lineRule="auto"/>
      </w:pPr>
      <w:r>
        <w:separator/>
      </w:r>
    </w:p>
  </w:footnote>
  <w:footnote w:type="continuationSeparator" w:id="0">
    <w:p w:rsidR="0052385A" w:rsidRDefault="0052385A" w:rsidP="000E5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82" w:rsidRDefault="000E5882">
    <w:pPr>
      <w:pStyle w:val="Header"/>
      <w:rPr>
        <w:lang w:val="en-ZA"/>
      </w:rPr>
    </w:pPr>
  </w:p>
  <w:p w:rsidR="000E5882" w:rsidRPr="000E5882" w:rsidRDefault="000E5882">
    <w:pPr>
      <w:pStyle w:val="Header"/>
      <w:rPr>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AEF"/>
    <w:multiLevelType w:val="hybridMultilevel"/>
    <w:tmpl w:val="961E6C4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282C0A"/>
    <w:multiLevelType w:val="hybridMultilevel"/>
    <w:tmpl w:val="E8300ED8"/>
    <w:lvl w:ilvl="0" w:tplc="8D9E7884">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82"/>
    <w:rsid w:val="000B46E3"/>
    <w:rsid w:val="000E5882"/>
    <w:rsid w:val="00155A32"/>
    <w:rsid w:val="00251A1E"/>
    <w:rsid w:val="00297DCA"/>
    <w:rsid w:val="002D15DC"/>
    <w:rsid w:val="003001A1"/>
    <w:rsid w:val="003514FA"/>
    <w:rsid w:val="0039054D"/>
    <w:rsid w:val="00416636"/>
    <w:rsid w:val="00426ACD"/>
    <w:rsid w:val="0045341B"/>
    <w:rsid w:val="004B6749"/>
    <w:rsid w:val="004C0D7B"/>
    <w:rsid w:val="004C2B72"/>
    <w:rsid w:val="004F6449"/>
    <w:rsid w:val="0052385A"/>
    <w:rsid w:val="00540F7C"/>
    <w:rsid w:val="00564682"/>
    <w:rsid w:val="00742B2B"/>
    <w:rsid w:val="007B27B1"/>
    <w:rsid w:val="00827214"/>
    <w:rsid w:val="008F239E"/>
    <w:rsid w:val="009608B3"/>
    <w:rsid w:val="00A80419"/>
    <w:rsid w:val="00A97FB1"/>
    <w:rsid w:val="00AE291B"/>
    <w:rsid w:val="00BB7F21"/>
    <w:rsid w:val="00C47E3A"/>
    <w:rsid w:val="00C70A09"/>
    <w:rsid w:val="00CD1232"/>
    <w:rsid w:val="00D55C67"/>
    <w:rsid w:val="00D81300"/>
    <w:rsid w:val="00DA23A7"/>
    <w:rsid w:val="00DB375A"/>
    <w:rsid w:val="00DD279D"/>
    <w:rsid w:val="00E36881"/>
    <w:rsid w:val="00ED5F81"/>
    <w:rsid w:val="00EE15D4"/>
    <w:rsid w:val="00FF72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82"/>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5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882"/>
    <w:rPr>
      <w:rFonts w:ascii="Calibri" w:eastAsia="Calibri" w:hAnsi="Calibri" w:cs="Times New Roman"/>
      <w:lang w:val="af-ZA"/>
    </w:rPr>
  </w:style>
  <w:style w:type="paragraph" w:styleId="Footer">
    <w:name w:val="footer"/>
    <w:basedOn w:val="Normal"/>
    <w:link w:val="FooterChar"/>
    <w:uiPriority w:val="99"/>
    <w:unhideWhenUsed/>
    <w:rsid w:val="000E5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882"/>
    <w:rPr>
      <w:rFonts w:ascii="Calibri" w:eastAsia="Calibri" w:hAnsi="Calibri" w:cs="Times New Roman"/>
      <w:lang w:val="af-ZA"/>
    </w:rPr>
  </w:style>
  <w:style w:type="paragraph" w:styleId="ListParagraph">
    <w:name w:val="List Paragraph"/>
    <w:basedOn w:val="Normal"/>
    <w:uiPriority w:val="34"/>
    <w:qFormat/>
    <w:rsid w:val="000E5882"/>
    <w:pPr>
      <w:ind w:left="720"/>
      <w:contextualSpacing/>
    </w:pPr>
  </w:style>
  <w:style w:type="paragraph" w:styleId="BalloonText">
    <w:name w:val="Balloon Text"/>
    <w:basedOn w:val="Normal"/>
    <w:link w:val="BalloonTextChar"/>
    <w:uiPriority w:val="99"/>
    <w:semiHidden/>
    <w:unhideWhenUsed/>
    <w:rsid w:val="008F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9E"/>
    <w:rPr>
      <w:rFonts w:ascii="Tahoma" w:eastAsia="Calibri" w:hAnsi="Tahoma" w:cs="Tahoma"/>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82"/>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5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882"/>
    <w:rPr>
      <w:rFonts w:ascii="Calibri" w:eastAsia="Calibri" w:hAnsi="Calibri" w:cs="Times New Roman"/>
      <w:lang w:val="af-ZA"/>
    </w:rPr>
  </w:style>
  <w:style w:type="paragraph" w:styleId="Footer">
    <w:name w:val="footer"/>
    <w:basedOn w:val="Normal"/>
    <w:link w:val="FooterChar"/>
    <w:uiPriority w:val="99"/>
    <w:unhideWhenUsed/>
    <w:rsid w:val="000E5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882"/>
    <w:rPr>
      <w:rFonts w:ascii="Calibri" w:eastAsia="Calibri" w:hAnsi="Calibri" w:cs="Times New Roman"/>
      <w:lang w:val="af-ZA"/>
    </w:rPr>
  </w:style>
  <w:style w:type="paragraph" w:styleId="ListParagraph">
    <w:name w:val="List Paragraph"/>
    <w:basedOn w:val="Normal"/>
    <w:uiPriority w:val="34"/>
    <w:qFormat/>
    <w:rsid w:val="000E5882"/>
    <w:pPr>
      <w:ind w:left="720"/>
      <w:contextualSpacing/>
    </w:pPr>
  </w:style>
  <w:style w:type="paragraph" w:styleId="BalloonText">
    <w:name w:val="Balloon Text"/>
    <w:basedOn w:val="Normal"/>
    <w:link w:val="BalloonTextChar"/>
    <w:uiPriority w:val="99"/>
    <w:semiHidden/>
    <w:unhideWhenUsed/>
    <w:rsid w:val="008F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9E"/>
    <w:rPr>
      <w:rFonts w:ascii="Tahoma" w:eastAsia="Calibri"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Sehlabela Chuene</cp:lastModifiedBy>
  <cp:revision>2</cp:revision>
  <cp:lastPrinted>2016-05-18T07:49:00Z</cp:lastPrinted>
  <dcterms:created xsi:type="dcterms:W3CDTF">2016-05-18T10:23:00Z</dcterms:created>
  <dcterms:modified xsi:type="dcterms:W3CDTF">2016-05-18T10:23:00Z</dcterms:modified>
</cp:coreProperties>
</file>