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A268B1">
        <w:rPr>
          <w:b/>
          <w:bCs/>
          <w:sz w:val="24"/>
          <w:u w:val="single"/>
        </w:rPr>
        <w:t>41</w:t>
      </w:r>
      <w:r w:rsidR="002B606C">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268B1">
        <w:rPr>
          <w:b/>
          <w:bCs/>
          <w:sz w:val="24"/>
          <w:u w:val="single"/>
        </w:rPr>
        <w:t>01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A268B1">
        <w:rPr>
          <w:b/>
          <w:bCs/>
          <w:sz w:val="24"/>
          <w:u w:val="single"/>
        </w:rPr>
        <w:t>3</w:t>
      </w:r>
      <w:r w:rsidRPr="00294557">
        <w:rPr>
          <w:b/>
          <w:bCs/>
          <w:sz w:val="24"/>
          <w:u w:val="single"/>
        </w:rPr>
        <w:t>)</w:t>
      </w:r>
    </w:p>
    <w:p w:rsidR="002B606C" w:rsidRPr="002B606C" w:rsidRDefault="002B606C" w:rsidP="002B606C">
      <w:pPr>
        <w:spacing w:before="100" w:beforeAutospacing="1" w:after="100" w:afterAutospacing="1"/>
        <w:jc w:val="both"/>
        <w:outlineLvl w:val="0"/>
        <w:rPr>
          <w:sz w:val="24"/>
          <w:u w:val="single"/>
          <w:lang w:val="en-US"/>
        </w:rPr>
      </w:pPr>
      <w:proofErr w:type="spellStart"/>
      <w:r w:rsidRPr="002B606C">
        <w:rPr>
          <w:b/>
          <w:sz w:val="24"/>
          <w:u w:val="single"/>
          <w:lang w:val="en-US"/>
        </w:rPr>
        <w:t>Ms</w:t>
      </w:r>
      <w:proofErr w:type="spellEnd"/>
      <w:r w:rsidRPr="002B606C">
        <w:rPr>
          <w:b/>
          <w:sz w:val="24"/>
          <w:u w:val="single"/>
          <w:lang w:val="en-US"/>
        </w:rPr>
        <w:t xml:space="preserve"> H Ismail (DA) to ask the Minister of </w:t>
      </w:r>
      <w:r w:rsidRPr="002B606C">
        <w:rPr>
          <w:b/>
          <w:sz w:val="24"/>
          <w:u w:val="single"/>
        </w:rPr>
        <w:t>Health</w:t>
      </w:r>
      <w:r w:rsidRPr="002B606C">
        <w:rPr>
          <w:b/>
          <w:sz w:val="24"/>
          <w:u w:val="single"/>
        </w:rPr>
        <w:fldChar w:fldCharType="begin"/>
      </w:r>
      <w:r w:rsidRPr="002B606C">
        <w:rPr>
          <w:u w:val="single"/>
        </w:rPr>
        <w:instrText xml:space="preserve"> XE "</w:instrText>
      </w:r>
      <w:r w:rsidRPr="002B606C">
        <w:rPr>
          <w:b/>
          <w:sz w:val="24"/>
          <w:u w:val="single"/>
          <w:lang w:val="en-US"/>
        </w:rPr>
        <w:instrText>Health</w:instrText>
      </w:r>
      <w:r w:rsidRPr="002B606C">
        <w:rPr>
          <w:u w:val="single"/>
        </w:rPr>
        <w:instrText xml:space="preserve">" </w:instrText>
      </w:r>
      <w:r w:rsidRPr="002B606C">
        <w:rPr>
          <w:b/>
          <w:sz w:val="24"/>
          <w:u w:val="single"/>
        </w:rPr>
        <w:fldChar w:fldCharType="end"/>
      </w:r>
      <w:r w:rsidRPr="002B606C">
        <w:rPr>
          <w:b/>
          <w:sz w:val="24"/>
          <w:u w:val="single"/>
          <w:lang w:val="en-US"/>
        </w:rPr>
        <w:t>:</w:t>
      </w:r>
    </w:p>
    <w:p w:rsidR="00786C98" w:rsidRPr="00A268B1" w:rsidRDefault="002B606C" w:rsidP="002B606C">
      <w:pPr>
        <w:spacing w:before="100" w:beforeAutospacing="1" w:after="100" w:afterAutospacing="1"/>
        <w:jc w:val="both"/>
        <w:outlineLvl w:val="0"/>
        <w:rPr>
          <w:color w:val="000000" w:themeColor="text1"/>
          <w:sz w:val="24"/>
          <w:lang w:val="en-US"/>
        </w:rPr>
      </w:pPr>
      <w:r w:rsidRPr="002B606C">
        <w:rPr>
          <w:rFonts w:eastAsia="Calibri"/>
          <w:sz w:val="24"/>
        </w:rPr>
        <w:t>(a) What is the total number of key vacancies at the National Health</w:t>
      </w:r>
      <w:r w:rsidRPr="002B606C">
        <w:rPr>
          <w:rFonts w:eastAsia="Calibri"/>
          <w:sz w:val="24"/>
        </w:rPr>
        <w:fldChar w:fldCharType="begin"/>
      </w:r>
      <w:r w:rsidRPr="002B606C">
        <w:instrText xml:space="preserve"> XE "</w:instrText>
      </w:r>
      <w:r w:rsidRPr="002B606C">
        <w:rPr>
          <w:b/>
          <w:sz w:val="24"/>
          <w:lang w:val="en-US"/>
        </w:rPr>
        <w:instrText>Health</w:instrText>
      </w:r>
      <w:r w:rsidRPr="002B606C">
        <w:instrText xml:space="preserve">" </w:instrText>
      </w:r>
      <w:r w:rsidRPr="002B606C">
        <w:rPr>
          <w:rFonts w:eastAsia="Calibri"/>
          <w:sz w:val="24"/>
        </w:rPr>
        <w:fldChar w:fldCharType="end"/>
      </w:r>
      <w:r w:rsidRPr="002B606C">
        <w:rPr>
          <w:rFonts w:eastAsia="Calibri"/>
          <w:sz w:val="24"/>
        </w:rPr>
        <w:t xml:space="preserve"> Laboratory Service that were not filled, (b) what are the details of</w:t>
      </w:r>
      <w:bookmarkStart w:id="0" w:name="_GoBack"/>
      <w:bookmarkEnd w:id="0"/>
      <w:r w:rsidRPr="002B606C">
        <w:rPr>
          <w:rFonts w:eastAsia="Calibri"/>
          <w:sz w:val="24"/>
        </w:rPr>
        <w:t xml:space="preserve"> the (</w:t>
      </w:r>
      <w:proofErr w:type="spellStart"/>
      <w:r w:rsidRPr="002B606C">
        <w:rPr>
          <w:rFonts w:eastAsia="Calibri"/>
          <w:sz w:val="24"/>
        </w:rPr>
        <w:t>i</w:t>
      </w:r>
      <w:proofErr w:type="spellEnd"/>
      <w:r w:rsidRPr="002B606C">
        <w:rPr>
          <w:rFonts w:eastAsia="Calibri"/>
          <w:sz w:val="24"/>
        </w:rPr>
        <w:t>) irregular expenditure and (ii) material irregularities incurred by the entity for the previous financial year and (c) how is his department ensuring that the entity’s (</w:t>
      </w:r>
      <w:proofErr w:type="spellStart"/>
      <w:r w:rsidRPr="002B606C">
        <w:rPr>
          <w:rFonts w:eastAsia="Calibri"/>
          <w:sz w:val="24"/>
        </w:rPr>
        <w:t>i</w:t>
      </w:r>
      <w:proofErr w:type="spellEnd"/>
      <w:r w:rsidRPr="002B606C">
        <w:rPr>
          <w:rFonts w:eastAsia="Calibri"/>
          <w:sz w:val="24"/>
        </w:rPr>
        <w:t>) expenditure and (ii) procurement processes are in line with applicable legislation</w:t>
      </w:r>
      <w:r>
        <w:rPr>
          <w:rFonts w:eastAsia="Calibri"/>
          <w:color w:val="000000" w:themeColor="text1"/>
          <w:sz w:val="24"/>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FB4AF1">
        <w:rPr>
          <w:rFonts w:eastAsia="Calibri"/>
          <w:b/>
          <w:noProof/>
          <w:sz w:val="12"/>
          <w:szCs w:val="12"/>
          <w:lang w:val="af-ZA"/>
        </w:rPr>
        <w:t>2</w:t>
      </w:r>
      <w:r w:rsidR="002B606C">
        <w:rPr>
          <w:rFonts w:eastAsia="Calibri"/>
          <w:b/>
          <w:noProof/>
          <w:sz w:val="12"/>
          <w:szCs w:val="12"/>
          <w:lang w:val="af-ZA"/>
        </w:rPr>
        <w:t>629</w:t>
      </w:r>
      <w:r w:rsidR="00F6402A">
        <w:rPr>
          <w:rFonts w:eastAsia="Calibri"/>
          <w:b/>
          <w:noProof/>
          <w:sz w:val="12"/>
          <w:szCs w:val="12"/>
          <w:lang w:val="af-ZA"/>
        </w:rPr>
        <w:t>E</w:t>
      </w:r>
    </w:p>
    <w:p w:rsidR="00927732" w:rsidRPr="00FC4AF8"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AF55A4" w:rsidRDefault="00AF55A4" w:rsidP="00AF55A4">
      <w:pPr>
        <w:pStyle w:val="ListParagraph"/>
        <w:numPr>
          <w:ilvl w:val="0"/>
          <w:numId w:val="5"/>
        </w:numPr>
        <w:spacing w:after="160" w:line="259" w:lineRule="auto"/>
        <w:ind w:left="709"/>
        <w:jc w:val="both"/>
        <w:rPr>
          <w:sz w:val="24"/>
        </w:rPr>
      </w:pPr>
      <w:r w:rsidRPr="00AF55A4">
        <w:rPr>
          <w:sz w:val="24"/>
        </w:rPr>
        <w:t>297</w:t>
      </w:r>
    </w:p>
    <w:p w:rsidR="00AF55A4" w:rsidRDefault="00AF55A4" w:rsidP="00AF55A4">
      <w:pPr>
        <w:pStyle w:val="ListParagraph"/>
        <w:spacing w:after="160" w:line="259" w:lineRule="auto"/>
        <w:ind w:left="709"/>
        <w:jc w:val="both"/>
        <w:rPr>
          <w:sz w:val="24"/>
        </w:rPr>
      </w:pPr>
    </w:p>
    <w:p w:rsidR="00AF55A4" w:rsidRPr="00AF55A4" w:rsidRDefault="00AF55A4" w:rsidP="00AF55A4">
      <w:pPr>
        <w:pStyle w:val="ListParagraph"/>
        <w:numPr>
          <w:ilvl w:val="0"/>
          <w:numId w:val="5"/>
        </w:numPr>
        <w:spacing w:after="160" w:line="259" w:lineRule="auto"/>
        <w:ind w:left="709"/>
        <w:jc w:val="both"/>
        <w:rPr>
          <w:sz w:val="24"/>
        </w:rPr>
      </w:pPr>
      <w:r w:rsidRPr="00AF55A4">
        <w:rPr>
          <w:sz w:val="24"/>
          <w:lang w:val="en-US"/>
        </w:rPr>
        <w:t>(</w:t>
      </w:r>
      <w:proofErr w:type="spellStart"/>
      <w:r w:rsidRPr="00AF55A4">
        <w:rPr>
          <w:sz w:val="24"/>
          <w:lang w:val="en-US"/>
        </w:rPr>
        <w:t>i</w:t>
      </w:r>
      <w:proofErr w:type="spellEnd"/>
      <w:r w:rsidRPr="00AF55A4">
        <w:rPr>
          <w:sz w:val="24"/>
          <w:lang w:val="en-US"/>
        </w:rPr>
        <w:t>)</w:t>
      </w:r>
      <w:r w:rsidRPr="00AF55A4">
        <w:rPr>
          <w:sz w:val="24"/>
          <w:lang w:val="en-US"/>
        </w:rPr>
        <w:tab/>
        <w:t>I</w:t>
      </w:r>
      <w:r w:rsidRPr="00AF55A4">
        <w:rPr>
          <w:sz w:val="24"/>
          <w:lang w:val="en-US"/>
        </w:rPr>
        <w:t>rregular expenditure</w:t>
      </w:r>
    </w:p>
    <w:tbl>
      <w:tblPr>
        <w:tblW w:w="8930" w:type="dxa"/>
        <w:tblInd w:w="1408" w:type="dxa"/>
        <w:shd w:val="clear" w:color="auto" w:fill="D9D9D9" w:themeFill="background1" w:themeFillShade="D9"/>
        <w:tblLook w:val="04A0" w:firstRow="1" w:lastRow="0" w:firstColumn="1" w:lastColumn="0" w:noHBand="0" w:noVBand="1"/>
      </w:tblPr>
      <w:tblGrid>
        <w:gridCol w:w="7371"/>
        <w:gridCol w:w="1559"/>
      </w:tblGrid>
      <w:tr w:rsidR="00AF55A4" w:rsidRPr="00AF55A4" w:rsidTr="00AF55A4">
        <w:trPr>
          <w:trHeight w:val="630"/>
        </w:trPr>
        <w:tc>
          <w:tcPr>
            <w:tcW w:w="7371" w:type="dxa"/>
            <w:tcBorders>
              <w:top w:val="single" w:sz="8" w:space="0" w:color="FFFFFF"/>
              <w:left w:val="single" w:sz="8" w:space="0" w:color="FFFFFF"/>
              <w:bottom w:val="single" w:sz="12" w:space="0" w:color="FFFFFF"/>
              <w:right w:val="single" w:sz="8" w:space="0" w:color="FFFFFF"/>
            </w:tcBorders>
            <w:shd w:val="clear" w:color="auto" w:fill="D9D9D9" w:themeFill="background1" w:themeFillShade="D9"/>
            <w:vAlign w:val="center"/>
            <w:hideMark/>
          </w:tcPr>
          <w:p w:rsidR="00AF55A4" w:rsidRPr="00AF55A4" w:rsidRDefault="00AF55A4" w:rsidP="00604D03">
            <w:pPr>
              <w:rPr>
                <w:b/>
                <w:szCs w:val="22"/>
                <w:lang w:eastAsia="en-ZA"/>
              </w:rPr>
            </w:pPr>
            <w:r w:rsidRPr="00AF55A4">
              <w:rPr>
                <w:b/>
                <w:szCs w:val="22"/>
                <w:lang w:eastAsia="en-ZA"/>
              </w:rPr>
              <w:t>IRREGULAR SPEND</w:t>
            </w:r>
          </w:p>
        </w:tc>
        <w:tc>
          <w:tcPr>
            <w:tcW w:w="1559" w:type="dxa"/>
            <w:tcBorders>
              <w:top w:val="single" w:sz="8" w:space="0" w:color="FFFFFF"/>
              <w:left w:val="nil"/>
              <w:bottom w:val="single" w:sz="12"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b/>
                <w:szCs w:val="22"/>
                <w:lang w:eastAsia="en-ZA"/>
              </w:rPr>
            </w:pPr>
            <w:r w:rsidRPr="00AF55A4">
              <w:rPr>
                <w:b/>
                <w:szCs w:val="22"/>
                <w:lang w:eastAsia="en-ZA"/>
              </w:rPr>
              <w:t>2018/19 (R’000s)</w:t>
            </w:r>
          </w:p>
        </w:tc>
      </w:tr>
      <w:tr w:rsidR="00AF55A4" w:rsidRPr="00AF55A4" w:rsidTr="00AF55A4">
        <w:trPr>
          <w:trHeight w:val="33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rPr>
                <w:b/>
                <w:bCs/>
                <w:color w:val="000000"/>
                <w:szCs w:val="22"/>
                <w:lang w:eastAsia="en-ZA"/>
              </w:rPr>
            </w:pPr>
            <w:r w:rsidRPr="00AF55A4">
              <w:rPr>
                <w:b/>
                <w:bCs/>
                <w:color w:val="000000"/>
                <w:szCs w:val="22"/>
                <w:lang w:eastAsia="en-ZA"/>
              </w:rPr>
              <w:t>Opening balance</w:t>
            </w:r>
          </w:p>
        </w:tc>
        <w:tc>
          <w:tcPr>
            <w:tcW w:w="1559" w:type="dxa"/>
            <w:tcBorders>
              <w:top w:val="nil"/>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b/>
                <w:bCs/>
                <w:color w:val="000000"/>
                <w:szCs w:val="22"/>
                <w:lang w:eastAsia="en-ZA"/>
              </w:rPr>
            </w:pPr>
            <w:r w:rsidRPr="00AF55A4">
              <w:rPr>
                <w:b/>
                <w:bCs/>
                <w:color w:val="000000"/>
                <w:szCs w:val="22"/>
                <w:lang w:eastAsia="en-ZA"/>
              </w:rPr>
              <w:t>4 445 560</w:t>
            </w:r>
          </w:p>
        </w:tc>
      </w:tr>
      <w:tr w:rsidR="00AF55A4" w:rsidRPr="00AF55A4" w:rsidTr="00AF55A4">
        <w:trPr>
          <w:trHeight w:val="32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both"/>
              <w:rPr>
                <w:color w:val="000000"/>
                <w:szCs w:val="22"/>
                <w:lang w:eastAsia="en-ZA"/>
              </w:rPr>
            </w:pPr>
            <w:r w:rsidRPr="00AF55A4">
              <w:rPr>
                <w:color w:val="000000"/>
                <w:szCs w:val="22"/>
                <w:lang w:eastAsia="en-ZA"/>
              </w:rPr>
              <w:t>This relates to expenditure on valid contracts that expired. This relates mostly to reagents and consumables</w:t>
            </w:r>
          </w:p>
        </w:tc>
        <w:tc>
          <w:tcPr>
            <w:tcW w:w="1559" w:type="dxa"/>
            <w:tcBorders>
              <w:top w:val="nil"/>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color w:val="000000"/>
                <w:szCs w:val="22"/>
                <w:lang w:eastAsia="en-ZA"/>
              </w:rPr>
            </w:pPr>
            <w:r w:rsidRPr="00AF55A4">
              <w:rPr>
                <w:color w:val="000000"/>
                <w:szCs w:val="22"/>
                <w:lang w:eastAsia="en-ZA"/>
              </w:rPr>
              <w:t>1 690 132</w:t>
            </w:r>
          </w:p>
        </w:tc>
      </w:tr>
      <w:tr w:rsidR="00AF55A4" w:rsidRPr="00AF55A4" w:rsidTr="00AF55A4">
        <w:trPr>
          <w:trHeight w:val="32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both"/>
              <w:rPr>
                <w:color w:val="000000"/>
                <w:szCs w:val="22"/>
                <w:lang w:eastAsia="en-ZA"/>
              </w:rPr>
            </w:pPr>
            <w:r w:rsidRPr="00AF55A4">
              <w:rPr>
                <w:color w:val="000000"/>
                <w:szCs w:val="22"/>
                <w:lang w:eastAsia="en-ZA"/>
              </w:rPr>
              <w:t>In terms of the NHLS Delegations of Authority, the Board needs to approve all contracts with a value of more than R10 million. The previous CEO and CFO was found guilty of entering contracts for more than R10 million which they were not allowed to do in terms of their delegated authority</w:t>
            </w:r>
          </w:p>
        </w:tc>
        <w:tc>
          <w:tcPr>
            <w:tcW w:w="1559" w:type="dxa"/>
            <w:tcBorders>
              <w:top w:val="nil"/>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color w:val="000000"/>
                <w:szCs w:val="22"/>
                <w:lang w:eastAsia="en-ZA"/>
              </w:rPr>
            </w:pPr>
            <w:r w:rsidRPr="00AF55A4">
              <w:rPr>
                <w:color w:val="000000"/>
                <w:szCs w:val="22"/>
                <w:lang w:eastAsia="en-ZA"/>
              </w:rPr>
              <w:t>104 770</w:t>
            </w:r>
          </w:p>
        </w:tc>
      </w:tr>
      <w:tr w:rsidR="00AF55A4" w:rsidRPr="00AF55A4" w:rsidTr="00AF55A4">
        <w:trPr>
          <w:trHeight w:val="32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both"/>
              <w:rPr>
                <w:color w:val="000000"/>
                <w:szCs w:val="22"/>
                <w:lang w:eastAsia="en-ZA"/>
              </w:rPr>
            </w:pPr>
            <w:r w:rsidRPr="00AF55A4">
              <w:rPr>
                <w:color w:val="000000"/>
                <w:szCs w:val="22"/>
                <w:lang w:eastAsia="en-ZA"/>
              </w:rPr>
              <w:t>In certain instances, goods were procured without any tender procedures being followed. This relates to items that NHLS classify as “catalogue” items. It is a practice that originated many years ago, but that the new management only became aware of in the last year. Processes are underway to correct this</w:t>
            </w:r>
          </w:p>
        </w:tc>
        <w:tc>
          <w:tcPr>
            <w:tcW w:w="1559" w:type="dxa"/>
            <w:tcBorders>
              <w:top w:val="nil"/>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color w:val="000000"/>
                <w:szCs w:val="22"/>
                <w:lang w:eastAsia="en-ZA"/>
              </w:rPr>
            </w:pPr>
            <w:r w:rsidRPr="00AF55A4">
              <w:rPr>
                <w:color w:val="000000"/>
                <w:szCs w:val="22"/>
                <w:lang w:eastAsia="en-ZA"/>
              </w:rPr>
              <w:t>800 671</w:t>
            </w:r>
          </w:p>
        </w:tc>
      </w:tr>
      <w:tr w:rsidR="00AF55A4" w:rsidRPr="00AF55A4" w:rsidTr="00AF55A4">
        <w:trPr>
          <w:trHeight w:val="32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both"/>
              <w:rPr>
                <w:color w:val="000000"/>
                <w:szCs w:val="22"/>
                <w:lang w:eastAsia="en-ZA"/>
              </w:rPr>
            </w:pPr>
            <w:r w:rsidRPr="00AF55A4">
              <w:rPr>
                <w:color w:val="000000"/>
                <w:szCs w:val="22"/>
                <w:lang w:eastAsia="en-ZA"/>
              </w:rPr>
              <w:t>In certain instances, the contract value that was approved had been exceeded by more than the allowed 15%. This relates mostly to reagents where there was an unanticipated spike in the number of tests that needed to be performed</w:t>
            </w:r>
          </w:p>
        </w:tc>
        <w:tc>
          <w:tcPr>
            <w:tcW w:w="1559" w:type="dxa"/>
            <w:tcBorders>
              <w:top w:val="nil"/>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color w:val="000000"/>
                <w:szCs w:val="22"/>
                <w:lang w:eastAsia="en-ZA"/>
              </w:rPr>
            </w:pPr>
            <w:r w:rsidRPr="00AF55A4">
              <w:rPr>
                <w:color w:val="000000"/>
                <w:szCs w:val="22"/>
                <w:lang w:eastAsia="en-ZA"/>
              </w:rPr>
              <w:t>361 810</w:t>
            </w:r>
          </w:p>
        </w:tc>
      </w:tr>
      <w:tr w:rsidR="00AF55A4" w:rsidRPr="00AF55A4" w:rsidTr="00AF55A4">
        <w:trPr>
          <w:trHeight w:val="32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both"/>
              <w:rPr>
                <w:color w:val="000000"/>
                <w:szCs w:val="22"/>
                <w:lang w:eastAsia="en-ZA"/>
              </w:rPr>
            </w:pPr>
            <w:r w:rsidRPr="00AF55A4">
              <w:rPr>
                <w:color w:val="000000"/>
                <w:szCs w:val="22"/>
                <w:lang w:eastAsia="en-ZA"/>
              </w:rPr>
              <w:t>Although evidence exist of a valid tender process and award, the actual contract confirming the award could not be found. It relates to one contract only</w:t>
            </w:r>
          </w:p>
        </w:tc>
        <w:tc>
          <w:tcPr>
            <w:tcW w:w="1559" w:type="dxa"/>
            <w:tcBorders>
              <w:top w:val="nil"/>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color w:val="000000"/>
                <w:szCs w:val="22"/>
                <w:lang w:eastAsia="en-ZA"/>
              </w:rPr>
            </w:pPr>
            <w:r w:rsidRPr="00AF55A4">
              <w:rPr>
                <w:color w:val="000000"/>
                <w:szCs w:val="22"/>
                <w:lang w:eastAsia="en-ZA"/>
              </w:rPr>
              <w:t>19 470</w:t>
            </w:r>
          </w:p>
        </w:tc>
      </w:tr>
      <w:tr w:rsidR="00AF55A4" w:rsidRPr="00AF55A4" w:rsidTr="00AF55A4">
        <w:trPr>
          <w:trHeight w:val="999"/>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both"/>
              <w:rPr>
                <w:color w:val="000000"/>
                <w:szCs w:val="22"/>
                <w:lang w:eastAsia="en-ZA"/>
              </w:rPr>
            </w:pPr>
            <w:r w:rsidRPr="00AF55A4">
              <w:rPr>
                <w:color w:val="000000"/>
                <w:szCs w:val="22"/>
                <w:lang w:eastAsia="en-ZA"/>
              </w:rPr>
              <w:t>Cases were found where expenditure was incurred after the award of a tender but before the actual contract was signed (normally due to the urgency of the situation). Standard contract wording has now been changed to prevent this from recurring</w:t>
            </w:r>
          </w:p>
        </w:tc>
        <w:tc>
          <w:tcPr>
            <w:tcW w:w="1559" w:type="dxa"/>
            <w:tcBorders>
              <w:top w:val="nil"/>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color w:val="000000"/>
                <w:szCs w:val="22"/>
                <w:lang w:eastAsia="en-ZA"/>
              </w:rPr>
            </w:pPr>
            <w:r w:rsidRPr="00AF55A4">
              <w:rPr>
                <w:color w:val="000000"/>
                <w:szCs w:val="22"/>
                <w:lang w:eastAsia="en-ZA"/>
              </w:rPr>
              <w:t>18 282</w:t>
            </w:r>
          </w:p>
        </w:tc>
      </w:tr>
      <w:tr w:rsidR="00AF55A4" w:rsidRPr="00AF55A4" w:rsidTr="00AF55A4">
        <w:trPr>
          <w:trHeight w:val="32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both"/>
              <w:rPr>
                <w:color w:val="000000"/>
                <w:szCs w:val="22"/>
                <w:lang w:eastAsia="en-ZA"/>
              </w:rPr>
            </w:pPr>
            <w:r w:rsidRPr="00AF55A4">
              <w:rPr>
                <w:color w:val="000000"/>
                <w:szCs w:val="22"/>
                <w:lang w:eastAsia="en-ZA"/>
              </w:rPr>
              <w:t xml:space="preserve">In one Region, the Manager authorized several separate tenders for the same product on the same day. This was erroneously done in an effort to allocate the expenses easier to various cost </w:t>
            </w:r>
            <w:proofErr w:type="spellStart"/>
            <w:r w:rsidRPr="00AF55A4">
              <w:rPr>
                <w:color w:val="000000"/>
                <w:szCs w:val="22"/>
                <w:lang w:eastAsia="en-ZA"/>
              </w:rPr>
              <w:t>centers</w:t>
            </w:r>
            <w:proofErr w:type="spellEnd"/>
            <w:r w:rsidRPr="00AF55A4">
              <w:rPr>
                <w:color w:val="000000"/>
                <w:szCs w:val="22"/>
                <w:lang w:eastAsia="en-ZA"/>
              </w:rPr>
              <w:t xml:space="preserve">. Procedures have been put in place to prevent this from happening again </w:t>
            </w:r>
          </w:p>
        </w:tc>
        <w:tc>
          <w:tcPr>
            <w:tcW w:w="1559" w:type="dxa"/>
            <w:tcBorders>
              <w:top w:val="nil"/>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color w:val="000000"/>
                <w:szCs w:val="22"/>
                <w:lang w:eastAsia="en-ZA"/>
              </w:rPr>
            </w:pPr>
            <w:r w:rsidRPr="00AF55A4">
              <w:rPr>
                <w:color w:val="000000"/>
                <w:szCs w:val="22"/>
                <w:lang w:eastAsia="en-ZA"/>
              </w:rPr>
              <w:t>1 707</w:t>
            </w:r>
          </w:p>
        </w:tc>
      </w:tr>
      <w:tr w:rsidR="00AF55A4" w:rsidRPr="00AF55A4" w:rsidTr="00AF55A4">
        <w:trPr>
          <w:trHeight w:val="32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rPr>
                <w:b/>
                <w:bCs/>
                <w:color w:val="000000"/>
                <w:szCs w:val="22"/>
                <w:lang w:eastAsia="en-ZA"/>
              </w:rPr>
            </w:pPr>
            <w:r w:rsidRPr="00AF55A4">
              <w:rPr>
                <w:b/>
                <w:bCs/>
                <w:color w:val="000000"/>
                <w:szCs w:val="22"/>
                <w:lang w:eastAsia="en-ZA"/>
              </w:rPr>
              <w:t>Less: Amount Condoned</w:t>
            </w:r>
          </w:p>
        </w:tc>
        <w:tc>
          <w:tcPr>
            <w:tcW w:w="1559" w:type="dxa"/>
            <w:tcBorders>
              <w:top w:val="nil"/>
              <w:left w:val="nil"/>
              <w:bottom w:val="nil"/>
              <w:right w:val="single" w:sz="8" w:space="0" w:color="FFFFFF"/>
            </w:tcBorders>
            <w:shd w:val="clear" w:color="auto" w:fill="D9D9D9" w:themeFill="background1" w:themeFillShade="D9"/>
            <w:vAlign w:val="center"/>
            <w:hideMark/>
          </w:tcPr>
          <w:p w:rsidR="00AF55A4" w:rsidRPr="00AF55A4" w:rsidRDefault="00AF55A4" w:rsidP="00604D03">
            <w:pPr>
              <w:jc w:val="right"/>
              <w:rPr>
                <w:b/>
                <w:bCs/>
                <w:color w:val="000000"/>
                <w:szCs w:val="22"/>
                <w:lang w:eastAsia="en-ZA"/>
              </w:rPr>
            </w:pPr>
            <w:r w:rsidRPr="00AF55A4">
              <w:rPr>
                <w:b/>
                <w:bCs/>
                <w:color w:val="000000"/>
                <w:szCs w:val="22"/>
                <w:lang w:eastAsia="en-ZA"/>
              </w:rPr>
              <w:t>-2 310 258</w:t>
            </w:r>
          </w:p>
        </w:tc>
      </w:tr>
      <w:tr w:rsidR="00AF55A4" w:rsidRPr="00AF55A4" w:rsidTr="00AF55A4">
        <w:trPr>
          <w:trHeight w:val="320"/>
        </w:trPr>
        <w:tc>
          <w:tcPr>
            <w:tcW w:w="7371"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rPr>
                <w:b/>
                <w:color w:val="000000"/>
                <w:szCs w:val="22"/>
                <w:lang w:eastAsia="en-ZA"/>
              </w:rPr>
            </w:pPr>
            <w:r w:rsidRPr="00AF55A4">
              <w:rPr>
                <w:b/>
                <w:color w:val="000000"/>
                <w:szCs w:val="22"/>
                <w:lang w:eastAsia="en-ZA"/>
              </w:rPr>
              <w:t>Total</w:t>
            </w:r>
          </w:p>
        </w:tc>
        <w:tc>
          <w:tcPr>
            <w:tcW w:w="1559" w:type="dxa"/>
            <w:tcBorders>
              <w:top w:val="single" w:sz="4" w:space="0" w:color="auto"/>
              <w:left w:val="nil"/>
              <w:bottom w:val="single" w:sz="8" w:space="0" w:color="FFFFFF"/>
              <w:right w:val="single" w:sz="8" w:space="0" w:color="FFFFFF"/>
            </w:tcBorders>
            <w:shd w:val="clear" w:color="auto" w:fill="D9D9D9" w:themeFill="background1" w:themeFillShade="D9"/>
            <w:vAlign w:val="center"/>
            <w:hideMark/>
          </w:tcPr>
          <w:p w:rsidR="00AF55A4" w:rsidRPr="00AF55A4" w:rsidRDefault="00AF55A4" w:rsidP="00604D03">
            <w:pPr>
              <w:jc w:val="right"/>
              <w:rPr>
                <w:b/>
                <w:color w:val="000000"/>
                <w:szCs w:val="22"/>
                <w:lang w:eastAsia="en-ZA"/>
              </w:rPr>
            </w:pPr>
            <w:r w:rsidRPr="00AF55A4">
              <w:rPr>
                <w:b/>
                <w:color w:val="000000"/>
                <w:szCs w:val="22"/>
                <w:lang w:eastAsia="en-ZA"/>
              </w:rPr>
              <w:t>5 132 144</w:t>
            </w:r>
          </w:p>
        </w:tc>
      </w:tr>
    </w:tbl>
    <w:p w:rsidR="00AF55A4" w:rsidRDefault="00AF55A4" w:rsidP="00AF55A4">
      <w:pPr>
        <w:spacing w:after="160" w:line="259" w:lineRule="auto"/>
        <w:jc w:val="both"/>
        <w:rPr>
          <w:rFonts w:eastAsia="Calibri"/>
          <w:sz w:val="24"/>
        </w:rPr>
      </w:pPr>
      <w:r>
        <w:rPr>
          <w:rFonts w:eastAsia="Calibri"/>
          <w:b/>
          <w:sz w:val="24"/>
        </w:rPr>
        <w:lastRenderedPageBreak/>
        <w:tab/>
      </w:r>
      <w:r w:rsidRPr="00AF55A4">
        <w:rPr>
          <w:rFonts w:eastAsia="Calibri"/>
          <w:sz w:val="24"/>
        </w:rPr>
        <w:t>(ii)</w:t>
      </w:r>
      <w:r w:rsidRPr="00AF55A4">
        <w:rPr>
          <w:rFonts w:eastAsia="Calibri"/>
          <w:sz w:val="24"/>
        </w:rPr>
        <w:tab/>
      </w:r>
      <w:r w:rsidRPr="00AF55A4">
        <w:rPr>
          <w:rFonts w:eastAsia="Calibri"/>
          <w:sz w:val="24"/>
        </w:rPr>
        <w:t>None</w:t>
      </w:r>
    </w:p>
    <w:p w:rsidR="00AF55A4" w:rsidRPr="00AF55A4" w:rsidRDefault="00AF55A4" w:rsidP="00AF55A4">
      <w:pPr>
        <w:tabs>
          <w:tab w:val="left" w:pos="709"/>
        </w:tabs>
        <w:spacing w:after="160" w:line="259" w:lineRule="auto"/>
        <w:ind w:left="1418" w:hanging="1418"/>
        <w:jc w:val="both"/>
        <w:rPr>
          <w:rFonts w:eastAsia="Calibri"/>
          <w:b/>
          <w:sz w:val="24"/>
        </w:rPr>
      </w:pPr>
      <w:r>
        <w:rPr>
          <w:rFonts w:eastAsia="Calibri"/>
          <w:sz w:val="24"/>
        </w:rPr>
        <w:t>(c)</w:t>
      </w:r>
      <w:r>
        <w:rPr>
          <w:rFonts w:eastAsia="Calibri"/>
          <w:sz w:val="24"/>
        </w:rPr>
        <w:tab/>
        <w:t>(</w:t>
      </w:r>
      <w:proofErr w:type="spellStart"/>
      <w:r>
        <w:rPr>
          <w:rFonts w:eastAsia="Calibri"/>
          <w:sz w:val="24"/>
        </w:rPr>
        <w:t>i</w:t>
      </w:r>
      <w:proofErr w:type="spellEnd"/>
      <w:r>
        <w:rPr>
          <w:rFonts w:eastAsia="Calibri"/>
          <w:sz w:val="24"/>
        </w:rPr>
        <w:t>)</w:t>
      </w:r>
      <w:r>
        <w:rPr>
          <w:rFonts w:eastAsia="Calibri"/>
          <w:sz w:val="24"/>
        </w:rPr>
        <w:tab/>
      </w:r>
      <w:r w:rsidRPr="00AF55A4">
        <w:rPr>
          <w:rFonts w:eastAsia="Calibri"/>
          <w:sz w:val="24"/>
        </w:rPr>
        <w:t>The Department has put in place the following mechanism to ensure that expenditure is in line with applicable legislation:</w:t>
      </w:r>
    </w:p>
    <w:p w:rsidR="00AF55A4" w:rsidRPr="00AF55A4" w:rsidRDefault="00AF55A4" w:rsidP="00AF55A4">
      <w:pPr>
        <w:pStyle w:val="ListParagraph"/>
        <w:numPr>
          <w:ilvl w:val="0"/>
          <w:numId w:val="6"/>
        </w:numPr>
        <w:spacing w:after="160" w:line="259" w:lineRule="auto"/>
        <w:ind w:left="1985" w:hanging="567"/>
        <w:jc w:val="both"/>
        <w:rPr>
          <w:b/>
          <w:sz w:val="24"/>
        </w:rPr>
      </w:pPr>
      <w:r w:rsidRPr="00AF55A4">
        <w:rPr>
          <w:sz w:val="24"/>
        </w:rPr>
        <w:t xml:space="preserve">The Minister has approved the NHLS Materiality and Significance Framework in terms of Sections 50 and 55 of the PFMA and Treasury Regulation 28.3, which </w:t>
      </w:r>
      <w:r w:rsidRPr="00AF55A4">
        <w:rPr>
          <w:sz w:val="24"/>
          <w:lang w:val="en-ZA"/>
        </w:rPr>
        <w:t xml:space="preserve">define significant, material and parameters of transaction that the institution is authorised to approve. </w:t>
      </w:r>
      <w:r w:rsidRPr="00AF55A4">
        <w:rPr>
          <w:sz w:val="24"/>
        </w:rPr>
        <w:t>The purpose of the Framework is to regulate the disclosure of material facts by public entities to the Executive Authority. This includes information to be provided in terms of the Annual Report and financial statements, as well as requests for approval from the Minister to participate in certain significant transactions,</w:t>
      </w:r>
      <w:r w:rsidRPr="00AF55A4">
        <w:rPr>
          <w:sz w:val="24"/>
          <w:lang w:val="en-ZA"/>
        </w:rPr>
        <w:t xml:space="preserve"> and</w:t>
      </w:r>
    </w:p>
    <w:p w:rsidR="00AF55A4" w:rsidRPr="00AF55A4" w:rsidRDefault="00AF55A4" w:rsidP="00AF55A4">
      <w:pPr>
        <w:pStyle w:val="ListParagraph"/>
        <w:spacing w:after="160" w:line="259" w:lineRule="auto"/>
        <w:ind w:left="1985"/>
        <w:jc w:val="both"/>
        <w:rPr>
          <w:b/>
          <w:sz w:val="24"/>
        </w:rPr>
      </w:pPr>
    </w:p>
    <w:p w:rsidR="00AF55A4" w:rsidRPr="00AF55A4" w:rsidRDefault="00AF55A4" w:rsidP="00AF55A4">
      <w:pPr>
        <w:pStyle w:val="ListParagraph"/>
        <w:numPr>
          <w:ilvl w:val="0"/>
          <w:numId w:val="6"/>
        </w:numPr>
        <w:spacing w:after="160" w:line="259" w:lineRule="auto"/>
        <w:ind w:left="1985" w:hanging="567"/>
        <w:jc w:val="both"/>
        <w:rPr>
          <w:b/>
          <w:sz w:val="24"/>
        </w:rPr>
      </w:pPr>
      <w:r w:rsidRPr="00AF55A4">
        <w:rPr>
          <w:sz w:val="24"/>
          <w:lang w:val="en-ZA"/>
        </w:rPr>
        <w:t>The Department monitors NHLS’s budget on a quarterly basis to ensure that the actual expenditure is aligned</w:t>
      </w:r>
      <w:r>
        <w:rPr>
          <w:sz w:val="24"/>
          <w:lang w:val="en-ZA"/>
        </w:rPr>
        <w:t xml:space="preserve"> to the budget.</w:t>
      </w:r>
    </w:p>
    <w:p w:rsidR="00AF55A4" w:rsidRPr="00AF55A4" w:rsidRDefault="00AF55A4" w:rsidP="00AF55A4">
      <w:pPr>
        <w:pStyle w:val="ListParagraph"/>
        <w:rPr>
          <w:b/>
          <w:sz w:val="24"/>
        </w:rPr>
      </w:pPr>
    </w:p>
    <w:p w:rsidR="00AF55A4" w:rsidRPr="00AF55A4" w:rsidRDefault="00AF55A4" w:rsidP="00AF55A4">
      <w:pPr>
        <w:spacing w:after="160" w:line="259" w:lineRule="auto"/>
        <w:ind w:left="1418" w:hanging="698"/>
        <w:jc w:val="both"/>
        <w:rPr>
          <w:rFonts w:eastAsia="Calibri"/>
          <w:b/>
          <w:sz w:val="24"/>
        </w:rPr>
      </w:pPr>
      <w:r w:rsidRPr="00AF55A4">
        <w:rPr>
          <w:rFonts w:eastAsia="Calibri"/>
          <w:sz w:val="24"/>
        </w:rPr>
        <w:t>(ii)</w:t>
      </w:r>
      <w:r>
        <w:rPr>
          <w:rFonts w:eastAsia="Calibri"/>
          <w:b/>
          <w:sz w:val="24"/>
        </w:rPr>
        <w:tab/>
      </w:r>
      <w:r w:rsidRPr="00AF55A4">
        <w:rPr>
          <w:rFonts w:eastAsia="Calibri"/>
          <w:sz w:val="24"/>
        </w:rPr>
        <w:t>The Department has put in place a mechanism to ensure that the NHLS report on quarterly basis on the level of compliance to the PFMA which includes the following:</w:t>
      </w:r>
    </w:p>
    <w:p w:rsidR="00AF55A4" w:rsidRDefault="00AF55A4" w:rsidP="00AF55A4">
      <w:pPr>
        <w:pStyle w:val="ListParagraph"/>
        <w:numPr>
          <w:ilvl w:val="0"/>
          <w:numId w:val="7"/>
        </w:numPr>
        <w:spacing w:after="160" w:line="259" w:lineRule="auto"/>
        <w:ind w:left="1985" w:hanging="545"/>
        <w:jc w:val="both"/>
        <w:rPr>
          <w:sz w:val="24"/>
        </w:rPr>
      </w:pPr>
      <w:r w:rsidRPr="00AF55A4">
        <w:rPr>
          <w:sz w:val="24"/>
        </w:rPr>
        <w:t>Ensuring that NHLS has a delegation of authority that define powers entrusted or delegated to officials within the organisation,</w:t>
      </w:r>
    </w:p>
    <w:p w:rsidR="00AF55A4" w:rsidRDefault="00AF55A4" w:rsidP="00AF55A4">
      <w:pPr>
        <w:pStyle w:val="ListParagraph"/>
        <w:spacing w:after="160" w:line="259" w:lineRule="auto"/>
        <w:ind w:left="1985"/>
        <w:jc w:val="both"/>
        <w:rPr>
          <w:sz w:val="24"/>
        </w:rPr>
      </w:pPr>
    </w:p>
    <w:p w:rsidR="00AF55A4" w:rsidRDefault="00AF55A4" w:rsidP="00AF55A4">
      <w:pPr>
        <w:pStyle w:val="ListParagraph"/>
        <w:numPr>
          <w:ilvl w:val="0"/>
          <w:numId w:val="7"/>
        </w:numPr>
        <w:spacing w:after="160" w:line="259" w:lineRule="auto"/>
        <w:ind w:left="1985" w:hanging="545"/>
        <w:jc w:val="both"/>
        <w:rPr>
          <w:sz w:val="24"/>
        </w:rPr>
      </w:pPr>
      <w:r w:rsidRPr="00AF55A4">
        <w:rPr>
          <w:sz w:val="24"/>
        </w:rPr>
        <w:t>Ensuring that NHLS takes appropriate disciplinary steps against employees who have made or permitted irregular or fruitless and wasteful expenditure,</w:t>
      </w:r>
    </w:p>
    <w:p w:rsidR="00AF55A4" w:rsidRPr="00AF55A4" w:rsidRDefault="00AF55A4" w:rsidP="00AF55A4">
      <w:pPr>
        <w:pStyle w:val="ListParagraph"/>
        <w:rPr>
          <w:sz w:val="24"/>
        </w:rPr>
      </w:pPr>
    </w:p>
    <w:p w:rsidR="00AF55A4" w:rsidRPr="00AF55A4" w:rsidRDefault="00AF55A4" w:rsidP="00AF55A4">
      <w:pPr>
        <w:pStyle w:val="ListParagraph"/>
        <w:numPr>
          <w:ilvl w:val="0"/>
          <w:numId w:val="7"/>
        </w:numPr>
        <w:spacing w:after="160" w:line="259" w:lineRule="auto"/>
        <w:ind w:left="1985" w:hanging="545"/>
        <w:jc w:val="both"/>
        <w:rPr>
          <w:sz w:val="24"/>
        </w:rPr>
      </w:pPr>
      <w:r w:rsidRPr="00AF55A4">
        <w:rPr>
          <w:sz w:val="24"/>
        </w:rPr>
        <w:t>Ensuring that NHLS has an appropriate procurement and provisioning administration system, which is fair, equitable, transparent, competitive and cost-effective, and</w:t>
      </w:r>
    </w:p>
    <w:p w:rsidR="00FC4AF8" w:rsidRPr="00AF55A4" w:rsidRDefault="00AF55A4" w:rsidP="00AF55A4">
      <w:pPr>
        <w:ind w:left="720"/>
        <w:outlineLvl w:val="0"/>
        <w:rPr>
          <w:sz w:val="24"/>
        </w:rPr>
      </w:pPr>
      <w:r w:rsidRPr="00AF55A4">
        <w:rPr>
          <w:rFonts w:eastAsia="Calibri"/>
          <w:sz w:val="24"/>
        </w:rPr>
        <w:t>Ensuring that NHLS has mechanisms in place to prevent irregular, fruitless, and wasteful expenditure.</w:t>
      </w:r>
    </w:p>
    <w:p w:rsidR="00BB311A" w:rsidRPr="00FD412D" w:rsidRDefault="00BB311A" w:rsidP="00FD412D">
      <w:pPr>
        <w:tabs>
          <w:tab w:val="left" w:pos="709"/>
        </w:tabs>
        <w:rPr>
          <w:sz w:val="24"/>
        </w:rPr>
      </w:pPr>
    </w:p>
    <w:p w:rsidR="00FD412D" w:rsidRDefault="00FD412D" w:rsidP="00FD412D">
      <w:pPr>
        <w:pStyle w:val="BodyText"/>
        <w:jc w:val="left"/>
        <w:rPr>
          <w:sz w:val="24"/>
          <w:lang w:val="en-GB"/>
        </w:rPr>
      </w:pPr>
    </w:p>
    <w:p w:rsidR="00E238C2" w:rsidRPr="00FC4AF8" w:rsidRDefault="00E238C2" w:rsidP="00FD412D">
      <w:pPr>
        <w:pStyle w:val="BodyText"/>
        <w:jc w:val="left"/>
        <w:rPr>
          <w:b/>
          <w:bCs/>
          <w:sz w:val="24"/>
          <w:lang w:val="en-GB"/>
        </w:rPr>
      </w:pPr>
      <w:r w:rsidRPr="00FC4AF8">
        <w:rPr>
          <w:sz w:val="24"/>
          <w:lang w:val="en-GB"/>
        </w:rPr>
        <w:t>END.</w:t>
      </w:r>
    </w:p>
    <w:sectPr w:rsidR="00E238C2" w:rsidRPr="00FC4AF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36" w:rsidRDefault="002F3736">
      <w:r>
        <w:separator/>
      </w:r>
    </w:p>
  </w:endnote>
  <w:endnote w:type="continuationSeparator" w:id="0">
    <w:p w:rsidR="002F3736" w:rsidRDefault="002F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AF55A4">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36" w:rsidRDefault="002F3736">
      <w:r>
        <w:separator/>
      </w:r>
    </w:p>
  </w:footnote>
  <w:footnote w:type="continuationSeparator" w:id="0">
    <w:p w:rsidR="002F3736" w:rsidRDefault="002F3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D1B"/>
    <w:multiLevelType w:val="hybridMultilevel"/>
    <w:tmpl w:val="110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36DC5"/>
    <w:multiLevelType w:val="hybridMultilevel"/>
    <w:tmpl w:val="4A16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B241F"/>
    <w:multiLevelType w:val="hybridMultilevel"/>
    <w:tmpl w:val="037E4736"/>
    <w:lvl w:ilvl="0" w:tplc="055C073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0D5DE9"/>
    <w:multiLevelType w:val="hybridMultilevel"/>
    <w:tmpl w:val="E7FC63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B9249A9"/>
    <w:multiLevelType w:val="hybridMultilevel"/>
    <w:tmpl w:val="3BC2E48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72987516"/>
    <w:multiLevelType w:val="hybridMultilevel"/>
    <w:tmpl w:val="48D8071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A6132"/>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3ED5"/>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3736"/>
    <w:rsid w:val="002F747D"/>
    <w:rsid w:val="00300051"/>
    <w:rsid w:val="0030381C"/>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64AE"/>
    <w:rsid w:val="00673272"/>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C640E"/>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D2E42"/>
    <w:rsid w:val="009D3DA5"/>
    <w:rsid w:val="009D62A1"/>
    <w:rsid w:val="009D7850"/>
    <w:rsid w:val="009E05A5"/>
    <w:rsid w:val="009E0F43"/>
    <w:rsid w:val="009E6D1C"/>
    <w:rsid w:val="009E6EF2"/>
    <w:rsid w:val="009E7C2F"/>
    <w:rsid w:val="009F075E"/>
    <w:rsid w:val="009F0BA7"/>
    <w:rsid w:val="009F299A"/>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AF43A2"/>
    <w:rsid w:val="00AF55A4"/>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9E150"/>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2019-11-07T11:56:00Z</cp:lastPrinted>
  <dcterms:created xsi:type="dcterms:W3CDTF">2019-11-14T11:31:00Z</dcterms:created>
  <dcterms:modified xsi:type="dcterms:W3CDTF">2019-11-22T17:30:00Z</dcterms:modified>
</cp:coreProperties>
</file>