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A268B1">
        <w:rPr>
          <w:b/>
          <w:bCs/>
          <w:sz w:val="24"/>
          <w:u w:val="single"/>
        </w:rPr>
        <w:t>412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68B1">
        <w:rPr>
          <w:b/>
          <w:bCs/>
          <w:sz w:val="24"/>
          <w:u w:val="single"/>
        </w:rPr>
        <w:t>01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A268B1">
        <w:rPr>
          <w:b/>
          <w:bCs/>
          <w:sz w:val="24"/>
          <w:u w:val="single"/>
        </w:rPr>
        <w:t>3</w:t>
      </w:r>
      <w:r w:rsidRPr="00294557">
        <w:rPr>
          <w:b/>
          <w:bCs/>
          <w:sz w:val="24"/>
          <w:u w:val="single"/>
        </w:rPr>
        <w:t>)</w:t>
      </w:r>
    </w:p>
    <w:p w:rsidR="00A268B1" w:rsidRPr="00A268B1" w:rsidRDefault="00A268B1" w:rsidP="00A268B1">
      <w:pPr>
        <w:spacing w:before="100" w:beforeAutospacing="1" w:after="100" w:afterAutospacing="1"/>
        <w:jc w:val="both"/>
        <w:outlineLvl w:val="0"/>
        <w:rPr>
          <w:sz w:val="24"/>
          <w:u w:val="single"/>
          <w:lang w:val="en-US"/>
        </w:rPr>
      </w:pPr>
      <w:proofErr w:type="spellStart"/>
      <w:r w:rsidRPr="00A268B1">
        <w:rPr>
          <w:b/>
          <w:sz w:val="24"/>
          <w:u w:val="single"/>
          <w:lang w:val="en-US"/>
        </w:rPr>
        <w:t>Ms</w:t>
      </w:r>
      <w:proofErr w:type="spellEnd"/>
      <w:r w:rsidRPr="00A268B1">
        <w:rPr>
          <w:b/>
          <w:sz w:val="24"/>
          <w:u w:val="single"/>
          <w:lang w:val="en-US"/>
        </w:rPr>
        <w:t xml:space="preserve"> H Ismail (DA) to ask </w:t>
      </w:r>
      <w:r w:rsidRPr="00A268B1">
        <w:rPr>
          <w:b/>
          <w:sz w:val="24"/>
          <w:u w:val="single"/>
        </w:rPr>
        <w:t>the</w:t>
      </w:r>
      <w:r w:rsidRPr="00A268B1">
        <w:rPr>
          <w:b/>
          <w:sz w:val="24"/>
          <w:u w:val="single"/>
          <w:lang w:val="en-US"/>
        </w:rPr>
        <w:t xml:space="preserve"> Minister of Health</w:t>
      </w:r>
      <w:r w:rsidRPr="00A268B1">
        <w:rPr>
          <w:b/>
          <w:sz w:val="24"/>
          <w:u w:val="single"/>
          <w:lang w:val="en-US"/>
        </w:rPr>
        <w:fldChar w:fldCharType="begin"/>
      </w:r>
      <w:r w:rsidRPr="00A268B1">
        <w:rPr>
          <w:u w:val="single"/>
        </w:rPr>
        <w:instrText xml:space="preserve"> XE "</w:instrText>
      </w:r>
      <w:r w:rsidRPr="00A268B1">
        <w:rPr>
          <w:b/>
          <w:sz w:val="24"/>
          <w:u w:val="single"/>
          <w:lang w:val="en-US"/>
        </w:rPr>
        <w:instrText>Health</w:instrText>
      </w:r>
      <w:r w:rsidRPr="00A268B1">
        <w:rPr>
          <w:u w:val="single"/>
        </w:rPr>
        <w:instrText xml:space="preserve">" </w:instrText>
      </w:r>
      <w:r w:rsidRPr="00A268B1">
        <w:rPr>
          <w:b/>
          <w:sz w:val="24"/>
          <w:u w:val="single"/>
          <w:lang w:val="en-US"/>
        </w:rPr>
        <w:fldChar w:fldCharType="end"/>
      </w:r>
      <w:r w:rsidRPr="00A268B1">
        <w:rPr>
          <w:b/>
          <w:sz w:val="24"/>
          <w:u w:val="single"/>
          <w:lang w:val="en-US"/>
        </w:rPr>
        <w:t>:</w:t>
      </w:r>
    </w:p>
    <w:p w:rsidR="00786C98" w:rsidRPr="00A268B1" w:rsidRDefault="00A268B1" w:rsidP="00A268B1">
      <w:pPr>
        <w:spacing w:before="100" w:beforeAutospacing="1" w:after="100" w:afterAutospacing="1"/>
        <w:jc w:val="both"/>
        <w:outlineLvl w:val="0"/>
        <w:rPr>
          <w:color w:val="000000" w:themeColor="text1"/>
          <w:sz w:val="24"/>
          <w:lang w:val="en-US"/>
        </w:rPr>
      </w:pPr>
      <w:r w:rsidRPr="00A268B1">
        <w:rPr>
          <w:rFonts w:eastAsia="Calibri"/>
          <w:sz w:val="24"/>
        </w:rPr>
        <w:t>(a) What is the total number of key vacancies at the SA Health</w:t>
      </w:r>
      <w:r w:rsidRPr="00A268B1">
        <w:rPr>
          <w:rFonts w:eastAsia="Calibri"/>
          <w:sz w:val="24"/>
        </w:rPr>
        <w:fldChar w:fldCharType="begin"/>
      </w:r>
      <w:r w:rsidRPr="00A268B1">
        <w:instrText xml:space="preserve"> XE "</w:instrText>
      </w:r>
      <w:r w:rsidRPr="00A268B1">
        <w:rPr>
          <w:b/>
          <w:sz w:val="24"/>
          <w:lang w:val="en-US"/>
        </w:rPr>
        <w:instrText>Health</w:instrText>
      </w:r>
      <w:r w:rsidRPr="00A268B1">
        <w:instrText xml:space="preserve">" </w:instrText>
      </w:r>
      <w:r w:rsidRPr="00A268B1">
        <w:rPr>
          <w:rFonts w:eastAsia="Calibri"/>
          <w:sz w:val="24"/>
        </w:rPr>
        <w:fldChar w:fldCharType="end"/>
      </w:r>
      <w:r w:rsidRPr="00A268B1">
        <w:rPr>
          <w:rFonts w:eastAsia="Calibri"/>
          <w:sz w:val="24"/>
        </w:rPr>
        <w:t xml:space="preserve"> Products Regulatory Authority that were not filled, (b) what are the details of the (</w:t>
      </w:r>
      <w:proofErr w:type="spellStart"/>
      <w:r w:rsidRPr="00A268B1">
        <w:rPr>
          <w:rFonts w:eastAsia="Calibri"/>
          <w:sz w:val="24"/>
        </w:rPr>
        <w:t>i</w:t>
      </w:r>
      <w:proofErr w:type="spellEnd"/>
      <w:r w:rsidRPr="00A268B1">
        <w:rPr>
          <w:rFonts w:eastAsia="Calibri"/>
          <w:sz w:val="24"/>
        </w:rPr>
        <w:t xml:space="preserve">) irregular expenditure and (ii) material irregularities incurred by the entity for the previous financial year and (c) </w:t>
      </w:r>
      <w:r w:rsidRPr="00A268B1">
        <w:rPr>
          <w:sz w:val="24"/>
          <w:lang w:val="en-US"/>
        </w:rPr>
        <w:t>how</w:t>
      </w:r>
      <w:r w:rsidRPr="00A268B1">
        <w:rPr>
          <w:rFonts w:eastAsia="Calibri"/>
          <w:sz w:val="24"/>
        </w:rPr>
        <w:t xml:space="preserve"> is his department ensuring that the entity’s (</w:t>
      </w:r>
      <w:proofErr w:type="spellStart"/>
      <w:r w:rsidRPr="00A268B1">
        <w:rPr>
          <w:rFonts w:eastAsia="Calibri"/>
          <w:sz w:val="24"/>
        </w:rPr>
        <w:t>i</w:t>
      </w:r>
      <w:proofErr w:type="spellEnd"/>
      <w:r w:rsidRPr="00A268B1">
        <w:rPr>
          <w:rFonts w:eastAsia="Calibri"/>
          <w:sz w:val="24"/>
        </w:rPr>
        <w:t>) expenditure and (ii) procurement processes are in line with applicable legislation</w:t>
      </w:r>
      <w:r w:rsidRPr="00A268B1">
        <w:rPr>
          <w:rFonts w:eastAsia="Calibri"/>
          <w:color w:val="000000" w:themeColor="text1"/>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FB4AF1">
        <w:rPr>
          <w:rFonts w:eastAsia="Calibri"/>
          <w:b/>
          <w:noProof/>
          <w:sz w:val="12"/>
          <w:szCs w:val="12"/>
          <w:lang w:val="af-ZA"/>
        </w:rPr>
        <w:t>2</w:t>
      </w:r>
      <w:r w:rsidR="00A268B1">
        <w:rPr>
          <w:rFonts w:eastAsia="Calibri"/>
          <w:b/>
          <w:noProof/>
          <w:sz w:val="12"/>
          <w:szCs w:val="12"/>
          <w:lang w:val="af-ZA"/>
        </w:rPr>
        <w:t>628</w:t>
      </w:r>
      <w:r w:rsidR="00F6402A">
        <w:rPr>
          <w:rFonts w:eastAsia="Calibri"/>
          <w:b/>
          <w:noProof/>
          <w:sz w:val="12"/>
          <w:szCs w:val="12"/>
          <w:lang w:val="af-ZA"/>
        </w:rPr>
        <w:t>E</w:t>
      </w:r>
    </w:p>
    <w:p w:rsidR="00927732" w:rsidRPr="00FC4AF8"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FF571B" w:rsidRPr="00FF571B" w:rsidRDefault="00FF571B" w:rsidP="00FF571B">
      <w:pPr>
        <w:pStyle w:val="ListParagraph"/>
        <w:numPr>
          <w:ilvl w:val="0"/>
          <w:numId w:val="6"/>
        </w:numPr>
        <w:spacing w:after="160" w:line="259" w:lineRule="auto"/>
        <w:ind w:hanging="720"/>
        <w:jc w:val="both"/>
        <w:rPr>
          <w:b/>
          <w:sz w:val="24"/>
        </w:rPr>
      </w:pPr>
      <w:r w:rsidRPr="00FF571B">
        <w:rPr>
          <w:sz w:val="24"/>
        </w:rPr>
        <w:t>92</w:t>
      </w:r>
    </w:p>
    <w:p w:rsidR="00FF571B" w:rsidRPr="00FF571B" w:rsidRDefault="00FF571B" w:rsidP="00FF571B">
      <w:pPr>
        <w:pStyle w:val="ListParagraph"/>
        <w:spacing w:after="160" w:line="259" w:lineRule="auto"/>
        <w:jc w:val="both"/>
        <w:rPr>
          <w:b/>
          <w:sz w:val="24"/>
        </w:rPr>
      </w:pPr>
    </w:p>
    <w:p w:rsidR="00FF571B" w:rsidRPr="00FF571B" w:rsidRDefault="00FF571B" w:rsidP="00FF571B">
      <w:pPr>
        <w:pStyle w:val="ListParagraph"/>
        <w:numPr>
          <w:ilvl w:val="0"/>
          <w:numId w:val="6"/>
        </w:numPr>
        <w:spacing w:after="160" w:line="259" w:lineRule="auto"/>
        <w:ind w:hanging="720"/>
        <w:jc w:val="both"/>
        <w:rPr>
          <w:b/>
          <w:sz w:val="24"/>
        </w:rPr>
      </w:pPr>
      <w:r w:rsidRPr="00FF571B">
        <w:rPr>
          <w:b/>
          <w:sz w:val="24"/>
        </w:rPr>
        <w:t>(</w:t>
      </w:r>
      <w:proofErr w:type="spellStart"/>
      <w:r w:rsidRPr="00FF571B">
        <w:rPr>
          <w:b/>
          <w:sz w:val="24"/>
        </w:rPr>
        <w:t>i</w:t>
      </w:r>
      <w:proofErr w:type="spellEnd"/>
      <w:r w:rsidRPr="00FF571B">
        <w:rPr>
          <w:b/>
          <w:sz w:val="24"/>
        </w:rPr>
        <w:t>)</w:t>
      </w:r>
      <w:r w:rsidRPr="00FF571B">
        <w:rPr>
          <w:b/>
          <w:sz w:val="24"/>
        </w:rPr>
        <w:tab/>
      </w:r>
      <w:r w:rsidRPr="00FF571B">
        <w:rPr>
          <w:sz w:val="24"/>
        </w:rPr>
        <w:t>Irregular expenditure</w:t>
      </w:r>
    </w:p>
    <w:p w:rsidR="00FF571B" w:rsidRPr="00FF571B" w:rsidRDefault="00FF571B" w:rsidP="00FF571B">
      <w:pPr>
        <w:pStyle w:val="ListParagraph"/>
        <w:rPr>
          <w:b/>
          <w:sz w:val="24"/>
        </w:rPr>
      </w:pPr>
    </w:p>
    <w:p w:rsidR="00FF571B" w:rsidRPr="00FF571B" w:rsidRDefault="00FF571B" w:rsidP="00FF571B">
      <w:pPr>
        <w:pStyle w:val="ListParagraph"/>
        <w:numPr>
          <w:ilvl w:val="0"/>
          <w:numId w:val="2"/>
        </w:numPr>
        <w:spacing w:after="240"/>
        <w:ind w:left="1843" w:hanging="425"/>
        <w:contextualSpacing w:val="0"/>
        <w:jc w:val="both"/>
        <w:rPr>
          <w:sz w:val="24"/>
        </w:rPr>
      </w:pPr>
      <w:r w:rsidRPr="00FF571B">
        <w:rPr>
          <w:sz w:val="24"/>
        </w:rPr>
        <w:t>Three (3) written quotations were not approved by the delegated official R63235</w:t>
      </w:r>
    </w:p>
    <w:p w:rsidR="00FF571B" w:rsidRPr="00FF571B" w:rsidRDefault="00FF571B" w:rsidP="00FF571B">
      <w:pPr>
        <w:pStyle w:val="ListParagraph"/>
        <w:numPr>
          <w:ilvl w:val="0"/>
          <w:numId w:val="2"/>
        </w:numPr>
        <w:spacing w:after="240"/>
        <w:ind w:left="1843" w:hanging="425"/>
        <w:contextualSpacing w:val="0"/>
        <w:jc w:val="both"/>
        <w:rPr>
          <w:sz w:val="24"/>
        </w:rPr>
      </w:pPr>
      <w:r w:rsidRPr="00FF571B">
        <w:rPr>
          <w:sz w:val="24"/>
        </w:rPr>
        <w:t>Payment made to supplier is in excess of the quoted amount (difference R12, 750) R97750</w:t>
      </w:r>
    </w:p>
    <w:p w:rsidR="00FF571B" w:rsidRPr="00FF571B" w:rsidRDefault="00FF571B" w:rsidP="00FF571B">
      <w:pPr>
        <w:pStyle w:val="ListParagraph"/>
        <w:numPr>
          <w:ilvl w:val="0"/>
          <w:numId w:val="2"/>
        </w:numPr>
        <w:spacing w:after="240"/>
        <w:ind w:left="1843" w:hanging="425"/>
        <w:contextualSpacing w:val="0"/>
        <w:jc w:val="both"/>
        <w:rPr>
          <w:sz w:val="24"/>
        </w:rPr>
      </w:pPr>
      <w:r w:rsidRPr="00FF571B">
        <w:rPr>
          <w:sz w:val="24"/>
        </w:rPr>
        <w:t>Supplier unqualified based on the awarding of the quotation was not fair, transparent, competitive and cost effective which is in contravention of Section 16A3 of the Treasury Regulation and the Preferential Procurement Policy Framework Act of 2000 which therefore results in irregular expenditure R1045800</w:t>
      </w:r>
      <w:r w:rsidRPr="00FF571B">
        <w:rPr>
          <w:sz w:val="24"/>
        </w:rPr>
        <w:t>;</w:t>
      </w:r>
    </w:p>
    <w:p w:rsidR="00FF571B" w:rsidRPr="00FF571B" w:rsidRDefault="00FF571B" w:rsidP="00FF571B">
      <w:pPr>
        <w:spacing w:after="160" w:line="259" w:lineRule="auto"/>
        <w:ind w:left="720"/>
        <w:jc w:val="both"/>
        <w:rPr>
          <w:rFonts w:eastAsia="Calibri"/>
          <w:sz w:val="24"/>
        </w:rPr>
      </w:pPr>
      <w:r w:rsidRPr="00FF571B">
        <w:rPr>
          <w:rFonts w:eastAsia="Calibri"/>
          <w:sz w:val="24"/>
        </w:rPr>
        <w:t>(ii)</w:t>
      </w:r>
      <w:r w:rsidRPr="00FF571B">
        <w:rPr>
          <w:rFonts w:eastAsia="Calibri"/>
          <w:sz w:val="24"/>
        </w:rPr>
        <w:tab/>
      </w:r>
      <w:r w:rsidRPr="00FF571B">
        <w:rPr>
          <w:rFonts w:eastAsia="Calibri"/>
          <w:sz w:val="24"/>
        </w:rPr>
        <w:t>None</w:t>
      </w:r>
    </w:p>
    <w:p w:rsidR="00FF571B" w:rsidRPr="00FF571B" w:rsidRDefault="00FF571B" w:rsidP="00FF571B">
      <w:pPr>
        <w:tabs>
          <w:tab w:val="left" w:pos="709"/>
        </w:tabs>
        <w:spacing w:after="160" w:line="259" w:lineRule="auto"/>
        <w:ind w:left="1418" w:hanging="1418"/>
        <w:jc w:val="both"/>
        <w:rPr>
          <w:rFonts w:eastAsia="Calibri"/>
          <w:sz w:val="24"/>
        </w:rPr>
      </w:pPr>
      <w:r w:rsidRPr="00FF571B">
        <w:rPr>
          <w:rFonts w:eastAsia="Calibri"/>
          <w:sz w:val="24"/>
        </w:rPr>
        <w:t>(c)</w:t>
      </w:r>
      <w:r w:rsidRPr="00FF571B">
        <w:rPr>
          <w:rFonts w:eastAsia="Calibri"/>
          <w:sz w:val="24"/>
        </w:rPr>
        <w:tab/>
        <w:t>(</w:t>
      </w:r>
      <w:proofErr w:type="spellStart"/>
      <w:r w:rsidRPr="00FF571B">
        <w:rPr>
          <w:rFonts w:eastAsia="Calibri"/>
          <w:sz w:val="24"/>
        </w:rPr>
        <w:t>i</w:t>
      </w:r>
      <w:proofErr w:type="spellEnd"/>
      <w:r w:rsidRPr="00FF571B">
        <w:rPr>
          <w:rFonts w:eastAsia="Calibri"/>
          <w:sz w:val="24"/>
        </w:rPr>
        <w:t>)</w:t>
      </w:r>
      <w:r w:rsidRPr="00FF571B">
        <w:rPr>
          <w:rFonts w:eastAsia="Calibri"/>
          <w:sz w:val="24"/>
        </w:rPr>
        <w:tab/>
      </w:r>
      <w:r w:rsidRPr="00FF571B">
        <w:rPr>
          <w:rFonts w:eastAsia="Calibri"/>
          <w:sz w:val="24"/>
        </w:rPr>
        <w:t>The Department has put in place the following mechanism to ensure that expenditure is in line with applicable legislation:</w:t>
      </w:r>
    </w:p>
    <w:p w:rsidR="00FF571B" w:rsidRPr="00FF571B" w:rsidRDefault="00FF571B" w:rsidP="00FF571B">
      <w:pPr>
        <w:pStyle w:val="ListParagraph"/>
        <w:numPr>
          <w:ilvl w:val="0"/>
          <w:numId w:val="7"/>
        </w:numPr>
        <w:spacing w:after="160" w:line="259" w:lineRule="auto"/>
        <w:jc w:val="both"/>
        <w:rPr>
          <w:b/>
          <w:sz w:val="24"/>
        </w:rPr>
      </w:pPr>
      <w:r w:rsidRPr="00FF571B">
        <w:rPr>
          <w:sz w:val="24"/>
        </w:rPr>
        <w:t xml:space="preserve">The Minister has approved the SAHPRA Materiality and Significance Framework in terms of Sections 50 and 55 of the PFMA and Treasury Regulation 28.3, which </w:t>
      </w:r>
      <w:r w:rsidRPr="00FF571B">
        <w:rPr>
          <w:sz w:val="24"/>
          <w:lang w:val="en-ZA"/>
        </w:rPr>
        <w:t xml:space="preserve">define significant, material and parameters of transaction that the institution is authorised to approve. </w:t>
      </w:r>
      <w:r w:rsidRPr="00FF571B">
        <w:rPr>
          <w:sz w:val="24"/>
        </w:rPr>
        <w:t>The purpose of the Framework is to regulate the disclosure of material facts by public entities to the Executive Authority. This includes information to be provided in terms of the Annual Report and financial statements, as well as requests for approval from the Minister to participate in certain significant transactions,</w:t>
      </w:r>
      <w:r w:rsidRPr="00FF571B">
        <w:rPr>
          <w:sz w:val="24"/>
          <w:lang w:val="en-ZA"/>
        </w:rPr>
        <w:t xml:space="preserve"> and</w:t>
      </w:r>
    </w:p>
    <w:p w:rsidR="00FF571B" w:rsidRPr="00FF571B" w:rsidRDefault="00FF571B" w:rsidP="00FF571B">
      <w:pPr>
        <w:pStyle w:val="ListParagraph"/>
        <w:spacing w:after="160" w:line="259" w:lineRule="auto"/>
        <w:ind w:left="1800"/>
        <w:jc w:val="both"/>
        <w:rPr>
          <w:b/>
          <w:sz w:val="24"/>
        </w:rPr>
      </w:pPr>
    </w:p>
    <w:p w:rsidR="00FF571B" w:rsidRPr="00FF571B" w:rsidRDefault="00FF571B" w:rsidP="00FF571B">
      <w:pPr>
        <w:pStyle w:val="ListParagraph"/>
        <w:numPr>
          <w:ilvl w:val="0"/>
          <w:numId w:val="7"/>
        </w:numPr>
        <w:spacing w:after="160" w:line="259" w:lineRule="auto"/>
        <w:jc w:val="both"/>
        <w:rPr>
          <w:b/>
          <w:sz w:val="24"/>
        </w:rPr>
      </w:pPr>
      <w:r w:rsidRPr="00FF571B">
        <w:rPr>
          <w:sz w:val="24"/>
          <w:lang w:val="en-ZA"/>
        </w:rPr>
        <w:t>The Department monitors SAHPRA’s budget on a quarterly basis to ensure that the actual expenditure is aligned</w:t>
      </w:r>
      <w:r w:rsidRPr="00FF571B">
        <w:rPr>
          <w:sz w:val="24"/>
          <w:lang w:val="en-ZA"/>
        </w:rPr>
        <w:t xml:space="preserve"> to the budget</w:t>
      </w:r>
    </w:p>
    <w:p w:rsidR="00FF571B" w:rsidRPr="00FF571B" w:rsidRDefault="00FF571B" w:rsidP="00FF571B">
      <w:pPr>
        <w:pStyle w:val="ListParagraph"/>
        <w:rPr>
          <w:sz w:val="24"/>
          <w:lang w:val="en-ZA"/>
        </w:rPr>
      </w:pPr>
    </w:p>
    <w:p w:rsidR="00FF571B" w:rsidRPr="00FF571B" w:rsidRDefault="00FF571B" w:rsidP="00FF571B">
      <w:pPr>
        <w:spacing w:after="160" w:line="259" w:lineRule="auto"/>
        <w:ind w:left="1418" w:hanging="698"/>
        <w:jc w:val="both"/>
        <w:rPr>
          <w:rFonts w:eastAsia="Calibri"/>
          <w:b/>
          <w:sz w:val="24"/>
        </w:rPr>
      </w:pPr>
      <w:r w:rsidRPr="00FF571B">
        <w:rPr>
          <w:sz w:val="24"/>
          <w:lang w:val="en-ZA"/>
        </w:rPr>
        <w:lastRenderedPageBreak/>
        <w:t>(ii)</w:t>
      </w:r>
      <w:r w:rsidRPr="00FF571B">
        <w:rPr>
          <w:sz w:val="24"/>
          <w:lang w:val="en-ZA"/>
        </w:rPr>
        <w:tab/>
      </w:r>
      <w:r w:rsidRPr="00FF571B">
        <w:rPr>
          <w:rFonts w:eastAsia="Calibri"/>
          <w:sz w:val="24"/>
        </w:rPr>
        <w:t>The Department has put in place a mechanism to ensure that the SAHPRA report on quarterly basis on the level of compliance to the PFMA which includes the following:</w:t>
      </w:r>
    </w:p>
    <w:p w:rsidR="00FF571B" w:rsidRPr="00FF571B" w:rsidRDefault="00FF571B" w:rsidP="00FF571B">
      <w:pPr>
        <w:pStyle w:val="ListParagraph"/>
        <w:numPr>
          <w:ilvl w:val="0"/>
          <w:numId w:val="8"/>
        </w:numPr>
        <w:spacing w:after="160" w:line="259" w:lineRule="auto"/>
        <w:jc w:val="both"/>
        <w:rPr>
          <w:sz w:val="24"/>
        </w:rPr>
      </w:pPr>
      <w:r w:rsidRPr="00FF571B">
        <w:rPr>
          <w:sz w:val="24"/>
        </w:rPr>
        <w:t>Ensuring that SAHPRA has a delegation of authority that define powers entrusted or delegated to officials within the organisation,</w:t>
      </w:r>
    </w:p>
    <w:p w:rsidR="00FF571B" w:rsidRPr="00FF571B" w:rsidRDefault="00FF571B" w:rsidP="00FF571B">
      <w:pPr>
        <w:pStyle w:val="ListParagraph"/>
        <w:spacing w:after="160" w:line="259" w:lineRule="auto"/>
        <w:ind w:left="1800"/>
        <w:jc w:val="both"/>
        <w:rPr>
          <w:sz w:val="24"/>
        </w:rPr>
      </w:pPr>
    </w:p>
    <w:p w:rsidR="00FF571B" w:rsidRPr="00FF571B" w:rsidRDefault="00FF571B" w:rsidP="00FF571B">
      <w:pPr>
        <w:pStyle w:val="ListParagraph"/>
        <w:numPr>
          <w:ilvl w:val="0"/>
          <w:numId w:val="8"/>
        </w:numPr>
        <w:spacing w:after="160" w:line="259" w:lineRule="auto"/>
        <w:jc w:val="both"/>
        <w:rPr>
          <w:sz w:val="24"/>
        </w:rPr>
      </w:pPr>
      <w:r w:rsidRPr="00FF571B">
        <w:rPr>
          <w:sz w:val="24"/>
        </w:rPr>
        <w:t>Ensuring that SAHPRA takes appropriate disciplinary steps against employees of who have made or permitted irregular or fruitless and wasteful expenditure,</w:t>
      </w:r>
    </w:p>
    <w:p w:rsidR="00FF571B" w:rsidRPr="00FF571B" w:rsidRDefault="00FF571B" w:rsidP="00FF571B">
      <w:pPr>
        <w:pStyle w:val="ListParagraph"/>
        <w:rPr>
          <w:sz w:val="24"/>
        </w:rPr>
      </w:pPr>
    </w:p>
    <w:p w:rsidR="00FF571B" w:rsidRPr="00FF571B" w:rsidRDefault="00FF571B" w:rsidP="00FF571B">
      <w:pPr>
        <w:pStyle w:val="ListParagraph"/>
        <w:numPr>
          <w:ilvl w:val="0"/>
          <w:numId w:val="8"/>
        </w:numPr>
        <w:spacing w:after="160" w:line="259" w:lineRule="auto"/>
        <w:jc w:val="both"/>
        <w:rPr>
          <w:sz w:val="24"/>
        </w:rPr>
      </w:pPr>
      <w:r w:rsidRPr="00FF571B">
        <w:rPr>
          <w:sz w:val="24"/>
        </w:rPr>
        <w:t>Ensuring that SAHPRA has an appropriate procurement and provisioning administration system, which is fair, equitable, transparent, competitive and cost-effective, and</w:t>
      </w:r>
    </w:p>
    <w:p w:rsidR="00FF571B" w:rsidRPr="00FF571B" w:rsidRDefault="00FF571B" w:rsidP="00FF571B">
      <w:pPr>
        <w:pStyle w:val="ListParagraph"/>
        <w:rPr>
          <w:sz w:val="24"/>
        </w:rPr>
      </w:pPr>
    </w:p>
    <w:p w:rsidR="00FF571B" w:rsidRPr="00FF571B" w:rsidRDefault="00FF571B" w:rsidP="00FF571B">
      <w:pPr>
        <w:pStyle w:val="ListParagraph"/>
        <w:numPr>
          <w:ilvl w:val="0"/>
          <w:numId w:val="8"/>
        </w:numPr>
        <w:spacing w:after="160" w:line="259" w:lineRule="auto"/>
        <w:jc w:val="both"/>
        <w:rPr>
          <w:sz w:val="24"/>
        </w:rPr>
      </w:pPr>
      <w:r w:rsidRPr="00FF571B">
        <w:rPr>
          <w:sz w:val="24"/>
        </w:rPr>
        <w:t>Ensuring that SAHPRA has mechanisms in place to prevent irregular, fruitless, and wasteful expenditure.</w:t>
      </w:r>
    </w:p>
    <w:p w:rsidR="00F20C10" w:rsidRDefault="00F20C10" w:rsidP="00FD412D">
      <w:pPr>
        <w:pStyle w:val="BodyText"/>
        <w:jc w:val="left"/>
        <w:rPr>
          <w:sz w:val="24"/>
          <w:lang w:val="en-GB"/>
        </w:rPr>
      </w:pPr>
    </w:p>
    <w:p w:rsidR="00E238C2" w:rsidRPr="00FC4AF8" w:rsidRDefault="00E238C2" w:rsidP="00FD412D">
      <w:pPr>
        <w:pStyle w:val="BodyText"/>
        <w:jc w:val="left"/>
        <w:rPr>
          <w:b/>
          <w:bCs/>
          <w:sz w:val="24"/>
          <w:lang w:val="en-GB"/>
        </w:rPr>
      </w:pPr>
      <w:r w:rsidRPr="00FC4AF8">
        <w:rPr>
          <w:sz w:val="24"/>
          <w:lang w:val="en-GB"/>
        </w:rPr>
        <w:t>END.</w:t>
      </w:r>
    </w:p>
    <w:sectPr w:rsidR="00E238C2" w:rsidRPr="00FC4AF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F4" w:rsidRDefault="003D2BF4">
      <w:r>
        <w:separator/>
      </w:r>
    </w:p>
  </w:endnote>
  <w:endnote w:type="continuationSeparator" w:id="0">
    <w:p w:rsidR="003D2BF4" w:rsidRDefault="003D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FF571B">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F4" w:rsidRDefault="003D2BF4">
      <w:r>
        <w:separator/>
      </w:r>
    </w:p>
  </w:footnote>
  <w:footnote w:type="continuationSeparator" w:id="0">
    <w:p w:rsidR="003D2BF4" w:rsidRDefault="003D2B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020"/>
    <w:multiLevelType w:val="hybridMultilevel"/>
    <w:tmpl w:val="9B9429A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10280D1B"/>
    <w:multiLevelType w:val="hybridMultilevel"/>
    <w:tmpl w:val="110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36DC5"/>
    <w:multiLevelType w:val="hybridMultilevel"/>
    <w:tmpl w:val="4A16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D5DE9"/>
    <w:multiLevelType w:val="hybridMultilevel"/>
    <w:tmpl w:val="E7FC63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6506349"/>
    <w:multiLevelType w:val="hybridMultilevel"/>
    <w:tmpl w:val="8C8E9F4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678472C6"/>
    <w:multiLevelType w:val="hybridMultilevel"/>
    <w:tmpl w:val="6F687B96"/>
    <w:lvl w:ilvl="0" w:tplc="0FB4C1C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95468CD"/>
    <w:multiLevelType w:val="hybridMultilevel"/>
    <w:tmpl w:val="7A28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6"/>
  </w:num>
  <w:num w:numId="7">
    <w:abstractNumId w:val="5"/>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3ED5"/>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2BF4"/>
    <w:rsid w:val="003D5148"/>
    <w:rsid w:val="003D5634"/>
    <w:rsid w:val="003D6B80"/>
    <w:rsid w:val="003E0AC8"/>
    <w:rsid w:val="003E5508"/>
    <w:rsid w:val="003F3650"/>
    <w:rsid w:val="003F3EB8"/>
    <w:rsid w:val="003F693D"/>
    <w:rsid w:val="003F6F06"/>
    <w:rsid w:val="003F7A33"/>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64AE"/>
    <w:rsid w:val="00673272"/>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63F8"/>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0C10"/>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571B"/>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49958"/>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2019-11-07T11:56:00Z</cp:lastPrinted>
  <dcterms:created xsi:type="dcterms:W3CDTF">2019-11-14T11:30:00Z</dcterms:created>
  <dcterms:modified xsi:type="dcterms:W3CDTF">2019-11-22T17:21:00Z</dcterms:modified>
</cp:coreProperties>
</file>