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72" w:rsidRPr="002D596F" w:rsidRDefault="00B07672" w:rsidP="00B07672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NATIONAL ASSEMBLY</w:t>
      </w:r>
    </w:p>
    <w:p w:rsidR="00B07672" w:rsidRPr="002D596F" w:rsidRDefault="00B07672" w:rsidP="00B07672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B07672" w:rsidRPr="002D596F" w:rsidRDefault="00B07672" w:rsidP="00B07672">
      <w:pPr>
        <w:spacing w:line="360" w:lineRule="auto"/>
        <w:jc w:val="center"/>
        <w:rPr>
          <w:rFonts w:ascii="Arial" w:hAnsi="Arial" w:cs="Arial"/>
          <w:b/>
        </w:rPr>
      </w:pPr>
      <w:bookmarkStart w:id="0" w:name="_Hlk65832587"/>
      <w:bookmarkStart w:id="1" w:name="_Hlk55548705"/>
      <w:bookmarkStart w:id="2" w:name="_Hlk138610287"/>
      <w:r w:rsidRPr="002D596F">
        <w:rPr>
          <w:rFonts w:ascii="Arial" w:hAnsi="Arial" w:cs="Arial"/>
          <w:b/>
        </w:rPr>
        <w:t xml:space="preserve">QUESTION NUMBER: </w:t>
      </w:r>
      <w:bookmarkStart w:id="3" w:name="_Hlk34208942"/>
      <w:bookmarkStart w:id="4" w:name="_Hlk49113957"/>
      <w:r w:rsidRPr="00810A1B">
        <w:rPr>
          <w:rFonts w:ascii="Arial" w:hAnsi="Arial" w:cs="Arial"/>
          <w:b/>
          <w:noProof/>
          <w:lang w:val="en-GB"/>
        </w:rPr>
        <w:t>1411</w:t>
      </w:r>
      <w:r>
        <w:rPr>
          <w:rFonts w:ascii="Arial" w:hAnsi="Arial" w:cs="Arial"/>
          <w:b/>
        </w:rPr>
        <w:t xml:space="preserve"> </w:t>
      </w:r>
      <w:bookmarkStart w:id="5" w:name="_Hlk128734672"/>
      <w:r w:rsidRPr="002D596F">
        <w:rPr>
          <w:rFonts w:ascii="Arial" w:hAnsi="Arial" w:cs="Arial"/>
          <w:b/>
        </w:rPr>
        <w:t>[</w:t>
      </w:r>
      <w:r w:rsidRPr="00810A1B">
        <w:rPr>
          <w:rFonts w:ascii="Arial" w:hAnsi="Arial" w:cs="Arial"/>
          <w:b/>
        </w:rPr>
        <w:t>NW1496E</w:t>
      </w:r>
      <w:r w:rsidRPr="002D596F">
        <w:rPr>
          <w:rFonts w:ascii="Arial" w:hAnsi="Arial" w:cs="Arial"/>
          <w:b/>
        </w:rPr>
        <w:t>]</w:t>
      </w:r>
      <w:bookmarkEnd w:id="3"/>
      <w:bookmarkEnd w:id="5"/>
    </w:p>
    <w:p w:rsidR="00B07672" w:rsidRPr="002D596F" w:rsidRDefault="00B07672" w:rsidP="00B07672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0"/>
      <w:bookmarkEnd w:id="1"/>
      <w:bookmarkEnd w:id="4"/>
      <w:r>
        <w:rPr>
          <w:rFonts w:ascii="Arial" w:hAnsi="Arial" w:cs="Arial"/>
          <w:b/>
        </w:rPr>
        <w:t>5</w:t>
      </w:r>
      <w:r w:rsidRPr="002D5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MAY </w:t>
      </w:r>
      <w:r w:rsidRPr="002D596F">
        <w:rPr>
          <w:rFonts w:ascii="Arial" w:hAnsi="Arial" w:cs="Arial"/>
          <w:b/>
        </w:rPr>
        <w:t>2023</w:t>
      </w:r>
    </w:p>
    <w:p w:rsidR="00B07672" w:rsidRPr="00810A1B" w:rsidRDefault="00B07672" w:rsidP="001511A8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b/>
        </w:rPr>
      </w:pPr>
      <w:r w:rsidRPr="00810A1B">
        <w:rPr>
          <w:rFonts w:ascii="Arial" w:hAnsi="Arial" w:cs="Arial"/>
          <w:b/>
          <w:noProof/>
          <w:lang w:val="en-GB"/>
        </w:rPr>
        <w:t>1411.</w:t>
      </w:r>
      <w:r w:rsidRPr="00810A1B">
        <w:rPr>
          <w:rFonts w:ascii="Arial" w:hAnsi="Arial" w:cs="Arial"/>
          <w:b/>
          <w:noProof/>
          <w:lang w:val="en-GB"/>
        </w:rPr>
        <w:tab/>
      </w:r>
      <w:r w:rsidRPr="00810A1B">
        <w:rPr>
          <w:rFonts w:ascii="Arial" w:hAnsi="Arial" w:cs="Arial"/>
          <w:b/>
          <w:lang w:val="en-GB"/>
        </w:rPr>
        <w:t>Dr</w:t>
      </w:r>
      <w:r w:rsidRPr="00810A1B">
        <w:rPr>
          <w:rFonts w:ascii="Arial" w:hAnsi="Arial" w:cs="Arial"/>
          <w:b/>
        </w:rPr>
        <w:t xml:space="preserve"> D T George (DA) </w:t>
      </w:r>
      <w:bookmarkEnd w:id="2"/>
      <w:r w:rsidRPr="00810A1B">
        <w:rPr>
          <w:rFonts w:ascii="Arial" w:hAnsi="Arial" w:cs="Arial"/>
          <w:b/>
        </w:rPr>
        <w:t>to ask the Minister of Finance</w:t>
      </w:r>
      <w:r w:rsidR="002F2F61" w:rsidRPr="00810A1B">
        <w:rPr>
          <w:rFonts w:ascii="Arial" w:hAnsi="Arial" w:cs="Arial"/>
          <w:b/>
        </w:rPr>
        <w:fldChar w:fldCharType="begin"/>
      </w:r>
      <w:r w:rsidRPr="00810A1B">
        <w:rPr>
          <w:rFonts w:ascii="Arial" w:hAnsi="Arial" w:cs="Arial"/>
        </w:rPr>
        <w:instrText xml:space="preserve"> XE "</w:instrText>
      </w:r>
      <w:r w:rsidRPr="00810A1B">
        <w:rPr>
          <w:rFonts w:ascii="Arial" w:hAnsi="Arial" w:cs="Arial"/>
          <w:b/>
          <w:lang w:val="en-GB"/>
        </w:rPr>
        <w:instrText>Minister of Finance</w:instrText>
      </w:r>
      <w:r w:rsidRPr="00810A1B">
        <w:rPr>
          <w:rFonts w:ascii="Arial" w:hAnsi="Arial" w:cs="Arial"/>
        </w:rPr>
        <w:instrText xml:space="preserve">" </w:instrText>
      </w:r>
      <w:r w:rsidR="002F2F61" w:rsidRPr="00810A1B">
        <w:rPr>
          <w:rFonts w:ascii="Arial" w:hAnsi="Arial" w:cs="Arial"/>
          <w:b/>
        </w:rPr>
        <w:fldChar w:fldCharType="end"/>
      </w:r>
      <w:r w:rsidRPr="00810A1B">
        <w:rPr>
          <w:rFonts w:ascii="Arial" w:hAnsi="Arial" w:cs="Arial"/>
          <w:b/>
        </w:rPr>
        <w:t>:</w:t>
      </w:r>
      <w:r w:rsidRPr="00810A1B">
        <w:rPr>
          <w:rFonts w:ascii="Arial" w:hAnsi="Arial" w:cs="Arial"/>
          <w:b/>
          <w:lang w:val="en-GB"/>
        </w:rPr>
        <w:t xml:space="preserve"> [</w:t>
      </w:r>
      <w:r w:rsidRPr="00810A1B">
        <w:rPr>
          <w:rFonts w:ascii="Arial" w:hAnsi="Arial" w:cs="Arial"/>
          <w:b/>
          <w:bCs/>
        </w:rPr>
        <w:sym w:font="Wingdings 2" w:char="F0EA"/>
      </w:r>
      <w:r w:rsidRPr="00810A1B">
        <w:rPr>
          <w:rFonts w:ascii="Arial" w:hAnsi="Arial" w:cs="Arial"/>
          <w:b/>
          <w:bCs/>
        </w:rPr>
        <w:t>217][</w:t>
      </w:r>
      <w:r w:rsidRPr="00810A1B">
        <w:rPr>
          <w:rFonts w:ascii="Arial" w:hAnsi="Arial" w:cs="Arial"/>
          <w:b/>
        </w:rPr>
        <w:t xml:space="preserve"> Question submitted for oral reply now placed for written reply because it is in excess of quota (Rule 137(8))]</w:t>
      </w:r>
    </w:p>
    <w:p w:rsidR="00417C04" w:rsidRDefault="009733B8" w:rsidP="001511A8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noProof/>
        </w:rPr>
      </w:pPr>
      <w:r w:rsidRPr="009733B8">
        <w:rPr>
          <w:rFonts w:ascii="Arial" w:hAnsi="Arial" w:cs="Arial"/>
        </w:rPr>
        <w:t xml:space="preserve">Whether, given the growing global concerns surrounding the dominant role of the </w:t>
      </w:r>
      <w:bookmarkStart w:id="6" w:name="_Hlk132977849"/>
      <w:r w:rsidRPr="009733B8">
        <w:rPr>
          <w:rFonts w:ascii="Arial" w:hAnsi="Arial" w:cs="Arial"/>
        </w:rPr>
        <w:t xml:space="preserve">United States Dollar (USD) </w:t>
      </w:r>
      <w:bookmarkEnd w:id="6"/>
      <w:r w:rsidRPr="009733B8">
        <w:rPr>
          <w:rFonts w:ascii="Arial" w:hAnsi="Arial" w:cs="Arial"/>
        </w:rPr>
        <w:t xml:space="preserve">as the primary reserve currency, and considering the ongoing discussions within the BRICS nations advocating for de-dollarisation in order to promote financial stability and </w:t>
      </w:r>
      <w:r w:rsidRPr="009733B8">
        <w:rPr>
          <w:rFonts w:ascii="Arial" w:hAnsi="Arial" w:cs="Arial"/>
          <w:lang w:val="en-GB"/>
        </w:rPr>
        <w:t>minimise</w:t>
      </w:r>
      <w:r w:rsidRPr="009733B8">
        <w:rPr>
          <w:rFonts w:ascii="Arial" w:hAnsi="Arial" w:cs="Arial"/>
        </w:rPr>
        <w:t xml:space="preserve"> vulnerability to the United States economic and political influence, the Government has been approached, either directly or indirectly, to initiate serious </w:t>
      </w:r>
      <w:r w:rsidRPr="009733B8">
        <w:rPr>
          <w:rFonts w:ascii="Arial" w:hAnsi="Arial" w:cs="Arial"/>
          <w:lang w:eastAsia="en-ZA"/>
        </w:rPr>
        <w:t>deliberations</w:t>
      </w:r>
      <w:r w:rsidRPr="009733B8">
        <w:rPr>
          <w:rFonts w:ascii="Arial" w:hAnsi="Arial" w:cs="Arial"/>
        </w:rPr>
        <w:t xml:space="preserve"> regarding the adoption of alternative currencies for international settlement purposes by the Republic; if not, what is the position in this regard; if so, what are the relevant details</w:t>
      </w:r>
      <w:r w:rsidRPr="009733B8">
        <w:rPr>
          <w:rFonts w:ascii="Arial" w:hAnsi="Arial" w:cs="Arial"/>
          <w:noProof/>
        </w:rPr>
        <w:t>?</w:t>
      </w:r>
      <w:r w:rsidRPr="009733B8">
        <w:rPr>
          <w:rFonts w:ascii="Arial" w:hAnsi="Arial" w:cs="Arial"/>
          <w:noProof/>
        </w:rPr>
        <w:tab/>
      </w:r>
    </w:p>
    <w:p w:rsidR="004630AB" w:rsidRDefault="00417C04" w:rsidP="00043695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AB0911" w:rsidRPr="00AB0911" w:rsidRDefault="00522D9D" w:rsidP="001511A8">
      <w:p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</w:rPr>
      </w:pPr>
      <w:r w:rsidRPr="00AB0911">
        <w:rPr>
          <w:rFonts w:ascii="Arial" w:hAnsi="Arial" w:cs="Arial"/>
        </w:rPr>
        <w:t xml:space="preserve">There has been no direct request </w:t>
      </w:r>
      <w:r w:rsidR="008A4988">
        <w:rPr>
          <w:rFonts w:ascii="Arial" w:hAnsi="Arial" w:cs="Arial"/>
        </w:rPr>
        <w:t xml:space="preserve">from BRICS </w:t>
      </w:r>
      <w:r w:rsidR="00BF2B23" w:rsidRPr="00AB0911">
        <w:rPr>
          <w:rFonts w:ascii="Arial" w:hAnsi="Arial" w:cs="Arial"/>
        </w:rPr>
        <w:t>focusing</w:t>
      </w:r>
      <w:r w:rsidRPr="00AB0911">
        <w:rPr>
          <w:rFonts w:ascii="Arial" w:hAnsi="Arial" w:cs="Arial"/>
        </w:rPr>
        <w:t xml:space="preserve"> on de-dollarisation</w:t>
      </w:r>
      <w:r w:rsidR="00911557">
        <w:rPr>
          <w:rFonts w:ascii="Arial" w:hAnsi="Arial" w:cs="Arial"/>
        </w:rPr>
        <w:t>. H</w:t>
      </w:r>
      <w:r w:rsidR="00911557" w:rsidRPr="00AB0911">
        <w:rPr>
          <w:rFonts w:ascii="Arial" w:hAnsi="Arial" w:cs="Arial"/>
        </w:rPr>
        <w:t>owever</w:t>
      </w:r>
      <w:r w:rsidR="00911557">
        <w:rPr>
          <w:rFonts w:ascii="Arial" w:hAnsi="Arial" w:cs="Arial"/>
        </w:rPr>
        <w:t>,</w:t>
      </w:r>
      <w:r w:rsidR="00911557" w:rsidRPr="00AB0911">
        <w:rPr>
          <w:rFonts w:ascii="Arial" w:hAnsi="Arial" w:cs="Arial"/>
        </w:rPr>
        <w:t xml:space="preserve"> </w:t>
      </w:r>
      <w:r w:rsidRPr="00AB0911">
        <w:rPr>
          <w:rFonts w:ascii="Arial" w:hAnsi="Arial" w:cs="Arial"/>
        </w:rPr>
        <w:t xml:space="preserve">there </w:t>
      </w:r>
      <w:r w:rsidR="00911557">
        <w:rPr>
          <w:rFonts w:ascii="Arial" w:hAnsi="Arial" w:cs="Arial"/>
        </w:rPr>
        <w:t>were</w:t>
      </w:r>
      <w:r w:rsidR="00911557" w:rsidRPr="00AB0911">
        <w:rPr>
          <w:rFonts w:ascii="Arial" w:hAnsi="Arial" w:cs="Arial"/>
        </w:rPr>
        <w:t xml:space="preserve"> </w:t>
      </w:r>
      <w:r w:rsidRPr="00AB0911">
        <w:rPr>
          <w:rFonts w:ascii="Arial" w:hAnsi="Arial" w:cs="Arial"/>
        </w:rPr>
        <w:t>discuss</w:t>
      </w:r>
      <w:r w:rsidR="0081739C" w:rsidRPr="00AB0911">
        <w:rPr>
          <w:rFonts w:ascii="Arial" w:hAnsi="Arial" w:cs="Arial"/>
        </w:rPr>
        <w:t>ions</w:t>
      </w:r>
      <w:r w:rsidR="00AB0911" w:rsidRPr="00AB0911">
        <w:rPr>
          <w:rFonts w:ascii="Arial" w:hAnsi="Arial" w:cs="Arial"/>
        </w:rPr>
        <w:t xml:space="preserve"> and agreement </w:t>
      </w:r>
      <w:r w:rsidR="0081739C" w:rsidRPr="00AB0911">
        <w:rPr>
          <w:rFonts w:ascii="Arial" w:hAnsi="Arial" w:cs="Arial"/>
        </w:rPr>
        <w:t xml:space="preserve">in the BRICS </w:t>
      </w:r>
      <w:r w:rsidR="00AB0911" w:rsidRPr="00AB0911">
        <w:rPr>
          <w:rFonts w:ascii="Arial" w:hAnsi="Arial" w:cs="Arial"/>
        </w:rPr>
        <w:t>Payment</w:t>
      </w:r>
      <w:r w:rsidR="002D4A16">
        <w:rPr>
          <w:rFonts w:ascii="Arial" w:hAnsi="Arial" w:cs="Arial"/>
        </w:rPr>
        <w:t>s</w:t>
      </w:r>
      <w:r w:rsidR="00AB0911" w:rsidRPr="00AB0911">
        <w:rPr>
          <w:rFonts w:ascii="Arial" w:hAnsi="Arial" w:cs="Arial"/>
        </w:rPr>
        <w:t xml:space="preserve"> Task Force </w:t>
      </w:r>
      <w:r w:rsidR="0081739C" w:rsidRPr="00AB0911">
        <w:rPr>
          <w:rFonts w:ascii="Arial" w:hAnsi="Arial" w:cs="Arial"/>
        </w:rPr>
        <w:t xml:space="preserve">on </w:t>
      </w:r>
      <w:r w:rsidR="00AB0911" w:rsidRPr="00AB0911">
        <w:rPr>
          <w:rFonts w:ascii="Arial" w:hAnsi="Arial" w:cs="Arial"/>
        </w:rPr>
        <w:t>the following</w:t>
      </w:r>
      <w:r w:rsidR="00AB0911">
        <w:rPr>
          <w:rFonts w:ascii="Arial" w:hAnsi="Arial" w:cs="Arial"/>
        </w:rPr>
        <w:t xml:space="preserve"> focus areas for 2023</w:t>
      </w:r>
      <w:r w:rsidR="00AB0911" w:rsidRPr="00AB0911">
        <w:rPr>
          <w:rFonts w:ascii="Arial" w:hAnsi="Arial" w:cs="Arial"/>
        </w:rPr>
        <w:t>:</w:t>
      </w:r>
    </w:p>
    <w:p w:rsidR="004630AB" w:rsidRPr="00BF2B23" w:rsidRDefault="00AB0911" w:rsidP="001511A8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noProof/>
        </w:rPr>
      </w:pPr>
      <w:r w:rsidRPr="00BF2B23">
        <w:rPr>
          <w:rFonts w:ascii="Arial" w:hAnsi="Arial" w:cs="Arial"/>
          <w:noProof/>
        </w:rPr>
        <w:t>Feasibility study on the implementation of the following elements of the G20 Crossborder Payments Roadmap</w:t>
      </w:r>
      <w:r w:rsidR="0081739C" w:rsidRPr="00BF2B23">
        <w:rPr>
          <w:rFonts w:ascii="Arial" w:hAnsi="Arial" w:cs="Arial"/>
          <w:noProof/>
        </w:rPr>
        <w:t>:</w:t>
      </w:r>
    </w:p>
    <w:p w:rsidR="00570014" w:rsidRPr="00BF2B23" w:rsidRDefault="00570014" w:rsidP="001511A8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1146"/>
        <w:jc w:val="both"/>
        <w:rPr>
          <w:rFonts w:ascii="Arial" w:hAnsi="Arial" w:cs="Arial"/>
          <w:noProof/>
        </w:rPr>
      </w:pPr>
      <w:r w:rsidRPr="00BF2B23">
        <w:rPr>
          <w:rFonts w:ascii="Arial" w:hAnsi="Arial" w:cs="Arial"/>
          <w:noProof/>
        </w:rPr>
        <w:t>Building Block 1</w:t>
      </w:r>
      <w:r w:rsidR="009C0EE5" w:rsidRPr="00BF2B23">
        <w:rPr>
          <w:rFonts w:ascii="Arial" w:hAnsi="Arial" w:cs="Arial"/>
          <w:noProof/>
        </w:rPr>
        <w:t>: T</w:t>
      </w:r>
      <w:r w:rsidRPr="00BF2B23">
        <w:rPr>
          <w:rFonts w:ascii="Arial" w:hAnsi="Arial" w:cs="Arial"/>
          <w:noProof/>
        </w:rPr>
        <w:t xml:space="preserve">he development of common cross-border payments vision and targets. </w:t>
      </w:r>
    </w:p>
    <w:p w:rsidR="004630AB" w:rsidRPr="00BF2B23" w:rsidRDefault="004630AB" w:rsidP="001511A8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1146"/>
        <w:jc w:val="both"/>
        <w:rPr>
          <w:rFonts w:ascii="Arial" w:hAnsi="Arial" w:cs="Arial"/>
          <w:noProof/>
        </w:rPr>
      </w:pPr>
      <w:r w:rsidRPr="00BF2B23">
        <w:rPr>
          <w:rFonts w:ascii="Arial" w:hAnsi="Arial" w:cs="Arial"/>
          <w:noProof/>
        </w:rPr>
        <w:t xml:space="preserve">Building Block 10: Improving access to payment systems by banks, non-banks and payment infrastructures – broadening the range of eligible candidates for settlement accounts by changing access policies, technical standards and supervisory or oversight regimes; and </w:t>
      </w:r>
    </w:p>
    <w:p w:rsidR="00AB0911" w:rsidRPr="00BF2B23" w:rsidRDefault="004630AB" w:rsidP="001511A8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1146"/>
        <w:jc w:val="both"/>
        <w:rPr>
          <w:rFonts w:ascii="Arial" w:hAnsi="Arial" w:cs="Arial"/>
          <w:bCs/>
          <w:lang w:val="en-GB"/>
        </w:rPr>
      </w:pPr>
      <w:r w:rsidRPr="00BF2B23">
        <w:rPr>
          <w:rFonts w:ascii="Arial" w:hAnsi="Arial" w:cs="Arial"/>
          <w:noProof/>
        </w:rPr>
        <w:t>Building Block 14: Adopt a harmonised version of ISO 20022 for message formats (including rules for conversion/mapping) – promoting the adoption of common message formats, such as a harmonised version of ISO 20022 and common rules of mapping/converting data between different data formats.</w:t>
      </w:r>
    </w:p>
    <w:p w:rsidR="00911557" w:rsidRDefault="00911557" w:rsidP="001511A8">
      <w:pPr>
        <w:pStyle w:val="ListParagraph"/>
        <w:spacing w:before="100" w:beforeAutospacing="1" w:after="100" w:afterAutospacing="1" w:line="276" w:lineRule="auto"/>
        <w:jc w:val="both"/>
        <w:rPr>
          <w:rFonts w:ascii="Arial" w:hAnsi="Arial" w:cs="Arial"/>
          <w:noProof/>
        </w:rPr>
      </w:pPr>
    </w:p>
    <w:p w:rsidR="002076E0" w:rsidRPr="00BF2B23" w:rsidRDefault="002076E0" w:rsidP="001511A8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bCs/>
        </w:rPr>
      </w:pPr>
      <w:r w:rsidRPr="00BF2B23">
        <w:rPr>
          <w:rFonts w:ascii="Arial" w:hAnsi="Arial" w:cs="Arial"/>
          <w:noProof/>
        </w:rPr>
        <w:t>The sharing of information on lessons from BRICS member</w:t>
      </w:r>
      <w:r w:rsidR="00911557">
        <w:rPr>
          <w:rFonts w:ascii="Arial" w:hAnsi="Arial" w:cs="Arial"/>
          <w:noProof/>
        </w:rPr>
        <w:t xml:space="preserve"> countrie</w:t>
      </w:r>
      <w:r w:rsidRPr="00BF2B23">
        <w:rPr>
          <w:rFonts w:ascii="Arial" w:hAnsi="Arial" w:cs="Arial"/>
          <w:noProof/>
        </w:rPr>
        <w:t xml:space="preserve">s on how sandboxes were operated; the aims of the sandboxes; how </w:t>
      </w:r>
      <w:r w:rsidR="001E0F80" w:rsidRPr="00BF2B23">
        <w:rPr>
          <w:rFonts w:ascii="Arial" w:hAnsi="Arial" w:cs="Arial"/>
          <w:noProof/>
        </w:rPr>
        <w:t>sandboxes</w:t>
      </w:r>
      <w:r w:rsidRPr="00BF2B23">
        <w:rPr>
          <w:rFonts w:ascii="Arial" w:hAnsi="Arial" w:cs="Arial"/>
          <w:noProof/>
        </w:rPr>
        <w:t xml:space="preserve"> </w:t>
      </w:r>
      <w:r w:rsidR="001E0F80" w:rsidRPr="00BF2B23">
        <w:rPr>
          <w:rFonts w:ascii="Arial" w:hAnsi="Arial" w:cs="Arial"/>
          <w:noProof/>
        </w:rPr>
        <w:t>are</w:t>
      </w:r>
      <w:r w:rsidRPr="00BF2B23">
        <w:rPr>
          <w:rFonts w:ascii="Arial" w:hAnsi="Arial" w:cs="Arial"/>
          <w:noProof/>
        </w:rPr>
        <w:t xml:space="preserve"> being utilised; some lessons learned and successes; and how sandboxes inform regulatory frameworks</w:t>
      </w:r>
      <w:r w:rsidR="00911557">
        <w:rPr>
          <w:rFonts w:ascii="Arial" w:hAnsi="Arial" w:cs="Arial"/>
          <w:noProof/>
        </w:rPr>
        <w:t>;</w:t>
      </w:r>
    </w:p>
    <w:p w:rsidR="00911557" w:rsidRDefault="00911557" w:rsidP="001511A8">
      <w:pPr>
        <w:pStyle w:val="ListParagraph"/>
        <w:spacing w:before="100" w:beforeAutospacing="1" w:after="100" w:afterAutospacing="1" w:line="276" w:lineRule="auto"/>
        <w:jc w:val="both"/>
        <w:rPr>
          <w:rFonts w:ascii="Arial" w:hAnsi="Arial" w:cs="Arial"/>
          <w:noProof/>
        </w:rPr>
      </w:pPr>
    </w:p>
    <w:p w:rsidR="00911557" w:rsidRDefault="002076E0" w:rsidP="001511A8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noProof/>
        </w:rPr>
      </w:pPr>
      <w:r w:rsidRPr="00BF2B23">
        <w:rPr>
          <w:rFonts w:ascii="Arial" w:hAnsi="Arial" w:cs="Arial"/>
          <w:noProof/>
        </w:rPr>
        <w:lastRenderedPageBreak/>
        <w:t>The sharing of experiences on</w:t>
      </w:r>
      <w:r w:rsidR="001E0F80" w:rsidRPr="00BF2B23">
        <w:rPr>
          <w:rFonts w:ascii="Arial" w:hAnsi="Arial" w:cs="Arial"/>
          <w:noProof/>
        </w:rPr>
        <w:t xml:space="preserve"> central bank</w:t>
      </w:r>
      <w:r w:rsidR="009B3467" w:rsidRPr="00BF2B23">
        <w:rPr>
          <w:rFonts w:ascii="Arial" w:hAnsi="Arial" w:cs="Arial"/>
          <w:noProof/>
        </w:rPr>
        <w:t xml:space="preserve"> </w:t>
      </w:r>
      <w:r w:rsidR="001E0F80" w:rsidRPr="00BF2B23">
        <w:rPr>
          <w:rFonts w:ascii="Arial" w:hAnsi="Arial" w:cs="Arial"/>
          <w:noProof/>
        </w:rPr>
        <w:t>digital currencies (</w:t>
      </w:r>
      <w:r w:rsidRPr="00BF2B23">
        <w:rPr>
          <w:rFonts w:ascii="Arial" w:hAnsi="Arial" w:cs="Arial"/>
          <w:noProof/>
        </w:rPr>
        <w:t>CBDCs</w:t>
      </w:r>
      <w:r w:rsidR="001E0F80" w:rsidRPr="00BF2B23">
        <w:rPr>
          <w:rFonts w:ascii="Arial" w:hAnsi="Arial" w:cs="Arial"/>
          <w:noProof/>
        </w:rPr>
        <w:t>)</w:t>
      </w:r>
      <w:r w:rsidRPr="00BF2B23">
        <w:rPr>
          <w:rFonts w:ascii="Arial" w:hAnsi="Arial" w:cs="Arial"/>
          <w:noProof/>
        </w:rPr>
        <w:t xml:space="preserve"> </w:t>
      </w:r>
      <w:r w:rsidR="004630AB" w:rsidRPr="00BF2B23">
        <w:rPr>
          <w:rFonts w:ascii="Arial" w:hAnsi="Arial" w:cs="Arial"/>
          <w:noProof/>
        </w:rPr>
        <w:t>to draw lessons across the BRICS countries</w:t>
      </w:r>
      <w:r w:rsidR="00F55B61" w:rsidRPr="00BF2B23">
        <w:rPr>
          <w:rFonts w:ascii="Arial" w:hAnsi="Arial" w:cs="Arial"/>
          <w:noProof/>
        </w:rPr>
        <w:t xml:space="preserve">, </w:t>
      </w:r>
      <w:r w:rsidR="004630AB" w:rsidRPr="00BF2B23">
        <w:rPr>
          <w:rFonts w:ascii="Arial" w:hAnsi="Arial" w:cs="Arial"/>
          <w:noProof/>
        </w:rPr>
        <w:t>look at the different experience</w:t>
      </w:r>
      <w:r w:rsidR="00F55B61" w:rsidRPr="00BF2B23">
        <w:rPr>
          <w:rFonts w:ascii="Arial" w:hAnsi="Arial" w:cs="Arial"/>
          <w:noProof/>
        </w:rPr>
        <w:t xml:space="preserve">s </w:t>
      </w:r>
      <w:r w:rsidR="004630AB" w:rsidRPr="00BF2B23">
        <w:rPr>
          <w:rFonts w:ascii="Arial" w:hAnsi="Arial" w:cs="Arial"/>
          <w:noProof/>
        </w:rPr>
        <w:t>and to determine how central banks could leverage from the sharing of information</w:t>
      </w:r>
      <w:r w:rsidR="00911557">
        <w:rPr>
          <w:rFonts w:ascii="Arial" w:hAnsi="Arial" w:cs="Arial"/>
          <w:noProof/>
        </w:rPr>
        <w:t>; and</w:t>
      </w:r>
    </w:p>
    <w:p w:rsidR="004630AB" w:rsidRPr="00BF2B23" w:rsidRDefault="00911557" w:rsidP="001511A8">
      <w:pPr>
        <w:pStyle w:val="ListParagraph"/>
        <w:spacing w:before="100" w:beforeAutospacing="1" w:after="100" w:afterAutospacing="1" w:line="276" w:lineRule="auto"/>
        <w:jc w:val="both"/>
        <w:rPr>
          <w:rFonts w:ascii="Arial" w:hAnsi="Arial" w:cs="Arial"/>
          <w:noProof/>
        </w:rPr>
      </w:pPr>
      <w:r w:rsidRPr="00BF2B23">
        <w:rPr>
          <w:rFonts w:ascii="Arial" w:hAnsi="Arial" w:cs="Arial"/>
          <w:noProof/>
        </w:rPr>
        <w:t xml:space="preserve"> </w:t>
      </w:r>
    </w:p>
    <w:p w:rsidR="00417C04" w:rsidRDefault="005F04AF" w:rsidP="001511A8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noProof/>
        </w:rPr>
      </w:pPr>
      <w:r w:rsidRPr="00BF2B23">
        <w:rPr>
          <w:rFonts w:ascii="Arial" w:hAnsi="Arial" w:cs="Arial"/>
          <w:noProof/>
        </w:rPr>
        <w:t xml:space="preserve">The </w:t>
      </w:r>
      <w:r w:rsidR="000478AE" w:rsidRPr="00BF2B23">
        <w:rPr>
          <w:rFonts w:ascii="Arial" w:hAnsi="Arial" w:cs="Arial"/>
          <w:noProof/>
        </w:rPr>
        <w:t>BRICS member</w:t>
      </w:r>
      <w:r w:rsidR="00911557">
        <w:rPr>
          <w:rFonts w:ascii="Arial" w:hAnsi="Arial" w:cs="Arial"/>
          <w:noProof/>
        </w:rPr>
        <w:t xml:space="preserve"> countrie</w:t>
      </w:r>
      <w:r w:rsidR="000478AE" w:rsidRPr="00BF2B23">
        <w:rPr>
          <w:rFonts w:ascii="Arial" w:hAnsi="Arial" w:cs="Arial"/>
          <w:noProof/>
        </w:rPr>
        <w:t>s</w:t>
      </w:r>
      <w:r w:rsidR="00522D9D">
        <w:rPr>
          <w:rFonts w:ascii="Arial" w:hAnsi="Arial" w:cs="Arial"/>
          <w:noProof/>
        </w:rPr>
        <w:t xml:space="preserve"> to consider</w:t>
      </w:r>
      <w:r w:rsidR="00580084">
        <w:rPr>
          <w:rFonts w:ascii="Arial" w:hAnsi="Arial" w:cs="Arial"/>
          <w:noProof/>
        </w:rPr>
        <w:t>, bilaterally</w:t>
      </w:r>
      <w:r w:rsidR="009049E8">
        <w:rPr>
          <w:rFonts w:ascii="Arial" w:hAnsi="Arial" w:cs="Arial"/>
          <w:noProof/>
        </w:rPr>
        <w:t>, the</w:t>
      </w:r>
      <w:r w:rsidR="00522D9D">
        <w:rPr>
          <w:rFonts w:ascii="Arial" w:hAnsi="Arial" w:cs="Arial"/>
          <w:noProof/>
        </w:rPr>
        <w:t xml:space="preserve"> interlinking </w:t>
      </w:r>
      <w:r w:rsidR="009049E8">
        <w:rPr>
          <w:rFonts w:ascii="Arial" w:hAnsi="Arial" w:cs="Arial"/>
          <w:noProof/>
        </w:rPr>
        <w:t xml:space="preserve">of </w:t>
      </w:r>
      <w:r w:rsidR="00522D9D">
        <w:rPr>
          <w:rFonts w:ascii="Arial" w:hAnsi="Arial" w:cs="Arial"/>
          <w:noProof/>
        </w:rPr>
        <w:t xml:space="preserve"> </w:t>
      </w:r>
      <w:r w:rsidR="009049E8">
        <w:rPr>
          <w:rFonts w:ascii="Arial" w:hAnsi="Arial" w:cs="Arial"/>
          <w:noProof/>
        </w:rPr>
        <w:t xml:space="preserve">payment </w:t>
      </w:r>
      <w:r w:rsidR="00522D9D">
        <w:rPr>
          <w:rFonts w:ascii="Arial" w:hAnsi="Arial" w:cs="Arial"/>
          <w:noProof/>
        </w:rPr>
        <w:t xml:space="preserve">infrastructures for settlement in their own currencies. </w:t>
      </w:r>
    </w:p>
    <w:p w:rsidR="002D4A16" w:rsidRDefault="002D4A16" w:rsidP="001511A8">
      <w:p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noProof/>
        </w:rPr>
      </w:pPr>
    </w:p>
    <w:p w:rsidR="002A6CB4" w:rsidRDefault="00A94C24" w:rsidP="001511A8">
      <w:p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noProof/>
        </w:rPr>
      </w:pPr>
      <w:r w:rsidRPr="00BF2B23">
        <w:rPr>
          <w:rFonts w:ascii="Arial" w:hAnsi="Arial" w:cs="Arial"/>
          <w:noProof/>
        </w:rPr>
        <w:t xml:space="preserve">The South African </w:t>
      </w:r>
      <w:r w:rsidR="00FC4FBD">
        <w:rPr>
          <w:rFonts w:ascii="Arial" w:hAnsi="Arial" w:cs="Arial"/>
          <w:noProof/>
        </w:rPr>
        <w:t xml:space="preserve">Government has </w:t>
      </w:r>
      <w:r w:rsidR="008A4988">
        <w:rPr>
          <w:rFonts w:ascii="Arial" w:hAnsi="Arial" w:cs="Arial"/>
          <w:noProof/>
        </w:rPr>
        <w:t xml:space="preserve">also </w:t>
      </w:r>
      <w:r w:rsidR="00FC4FBD">
        <w:rPr>
          <w:rFonts w:ascii="Arial" w:hAnsi="Arial" w:cs="Arial"/>
          <w:noProof/>
        </w:rPr>
        <w:t xml:space="preserve">been approached by </w:t>
      </w:r>
      <w:r w:rsidR="0037096D" w:rsidRPr="00BF2B23">
        <w:rPr>
          <w:rFonts w:ascii="Arial" w:hAnsi="Arial" w:cs="Arial"/>
          <w:noProof/>
        </w:rPr>
        <w:t xml:space="preserve">both Russia and India </w:t>
      </w:r>
      <w:r w:rsidR="003817BC" w:rsidRPr="00BF2B23">
        <w:rPr>
          <w:rFonts w:ascii="Arial" w:hAnsi="Arial" w:cs="Arial"/>
          <w:noProof/>
        </w:rPr>
        <w:t>on areas of possible collaboration</w:t>
      </w:r>
      <w:r w:rsidR="008F05AC" w:rsidRPr="00BF2B23">
        <w:rPr>
          <w:rFonts w:ascii="Arial" w:hAnsi="Arial" w:cs="Arial"/>
          <w:noProof/>
        </w:rPr>
        <w:t xml:space="preserve"> and cooperation</w:t>
      </w:r>
      <w:r w:rsidR="003817BC" w:rsidRPr="00BF2B23">
        <w:rPr>
          <w:rFonts w:ascii="Arial" w:hAnsi="Arial" w:cs="Arial"/>
          <w:noProof/>
        </w:rPr>
        <w:t xml:space="preserve">, including the </w:t>
      </w:r>
      <w:r w:rsidR="00784F67" w:rsidRPr="00BF2B23">
        <w:rPr>
          <w:rFonts w:ascii="Arial" w:hAnsi="Arial" w:cs="Arial"/>
          <w:noProof/>
        </w:rPr>
        <w:t xml:space="preserve">interlinking of payment insfrastructures for settlement </w:t>
      </w:r>
      <w:r w:rsidR="00AD4E73" w:rsidRPr="00BF2B23">
        <w:rPr>
          <w:rFonts w:ascii="Arial" w:hAnsi="Arial" w:cs="Arial"/>
          <w:noProof/>
        </w:rPr>
        <w:t>in their own currencies. P</w:t>
      </w:r>
      <w:r w:rsidR="00DF50A6" w:rsidRPr="00BF2B23">
        <w:rPr>
          <w:rFonts w:ascii="Arial" w:hAnsi="Arial" w:cs="Arial"/>
          <w:noProof/>
        </w:rPr>
        <w:t>r</w:t>
      </w:r>
      <w:r w:rsidR="00522D9D" w:rsidRPr="00BF2B23">
        <w:rPr>
          <w:rFonts w:ascii="Arial" w:hAnsi="Arial" w:cs="Arial"/>
          <w:noProof/>
        </w:rPr>
        <w:t>eliminary discussions</w:t>
      </w:r>
      <w:r w:rsidR="00FC4FBD">
        <w:rPr>
          <w:rFonts w:ascii="Arial" w:hAnsi="Arial" w:cs="Arial"/>
          <w:noProof/>
        </w:rPr>
        <w:t xml:space="preserve"> have taken place</w:t>
      </w:r>
      <w:r w:rsidR="00C862B4">
        <w:rPr>
          <w:rFonts w:ascii="Arial" w:hAnsi="Arial" w:cs="Arial"/>
          <w:noProof/>
        </w:rPr>
        <w:t xml:space="preserve"> between the South African Reserve Bank and the central banks of the two countries</w:t>
      </w:r>
      <w:r w:rsidR="00F60DAD">
        <w:rPr>
          <w:rFonts w:ascii="Arial" w:hAnsi="Arial" w:cs="Arial"/>
          <w:noProof/>
        </w:rPr>
        <w:t xml:space="preserve"> (with the Indian Am</w:t>
      </w:r>
      <w:r w:rsidR="00DC30EF">
        <w:rPr>
          <w:rFonts w:ascii="Arial" w:hAnsi="Arial" w:cs="Arial"/>
          <w:noProof/>
        </w:rPr>
        <w:t>bassador to South Africa being part of the delegation)</w:t>
      </w:r>
      <w:r w:rsidR="00C862B4">
        <w:rPr>
          <w:rFonts w:ascii="Arial" w:hAnsi="Arial" w:cs="Arial"/>
          <w:noProof/>
        </w:rPr>
        <w:t xml:space="preserve">. The discussion </w:t>
      </w:r>
      <w:r w:rsidR="00522D9D" w:rsidRPr="00BF2B23">
        <w:rPr>
          <w:rFonts w:ascii="Arial" w:hAnsi="Arial" w:cs="Arial"/>
          <w:noProof/>
        </w:rPr>
        <w:t xml:space="preserve">with </w:t>
      </w:r>
      <w:r w:rsidR="00DC30EF">
        <w:rPr>
          <w:rFonts w:ascii="Arial" w:hAnsi="Arial" w:cs="Arial"/>
          <w:noProof/>
        </w:rPr>
        <w:t xml:space="preserve">the Central Bank of the </w:t>
      </w:r>
      <w:r w:rsidR="00522D9D" w:rsidRPr="00BF2B23">
        <w:rPr>
          <w:rFonts w:ascii="Arial" w:hAnsi="Arial" w:cs="Arial"/>
          <w:noProof/>
        </w:rPr>
        <w:t>Russia</w:t>
      </w:r>
      <w:r w:rsidR="00DC30EF">
        <w:rPr>
          <w:rFonts w:ascii="Arial" w:hAnsi="Arial" w:cs="Arial"/>
          <w:noProof/>
        </w:rPr>
        <w:t xml:space="preserve">n Federation </w:t>
      </w:r>
      <w:r w:rsidR="00E34D69" w:rsidRPr="00BF2B23">
        <w:rPr>
          <w:rFonts w:ascii="Arial" w:hAnsi="Arial" w:cs="Arial"/>
          <w:noProof/>
        </w:rPr>
        <w:t xml:space="preserve">focussed on </w:t>
      </w:r>
      <w:r w:rsidR="00400E55" w:rsidRPr="00BF2B23">
        <w:rPr>
          <w:rFonts w:ascii="Arial" w:hAnsi="Arial" w:cs="Arial"/>
          <w:noProof/>
        </w:rPr>
        <w:t xml:space="preserve">the interlinking of </w:t>
      </w:r>
      <w:r w:rsidR="00522D9D" w:rsidRPr="00BF2B23">
        <w:rPr>
          <w:rFonts w:ascii="Arial" w:hAnsi="Arial" w:cs="Arial"/>
          <w:noProof/>
        </w:rPr>
        <w:t>both the retail instant payment</w:t>
      </w:r>
      <w:r w:rsidR="006E29B5" w:rsidRPr="00BF2B23">
        <w:rPr>
          <w:rFonts w:ascii="Arial" w:hAnsi="Arial" w:cs="Arial"/>
          <w:noProof/>
        </w:rPr>
        <w:t xml:space="preserve"> systems</w:t>
      </w:r>
      <w:r w:rsidR="00522D9D" w:rsidRPr="00BF2B23">
        <w:rPr>
          <w:rFonts w:ascii="Arial" w:hAnsi="Arial" w:cs="Arial"/>
          <w:noProof/>
        </w:rPr>
        <w:t xml:space="preserve"> and settlement</w:t>
      </w:r>
      <w:r w:rsidR="006E29B5" w:rsidRPr="00BF2B23">
        <w:rPr>
          <w:rFonts w:ascii="Arial" w:hAnsi="Arial" w:cs="Arial"/>
          <w:noProof/>
        </w:rPr>
        <w:t xml:space="preserve"> systems</w:t>
      </w:r>
      <w:r w:rsidR="00242C5B" w:rsidRPr="00BF2B23">
        <w:rPr>
          <w:rFonts w:ascii="Arial" w:hAnsi="Arial" w:cs="Arial"/>
          <w:noProof/>
        </w:rPr>
        <w:t xml:space="preserve">, while the </w:t>
      </w:r>
      <w:r w:rsidR="00522D9D" w:rsidRPr="00BF2B23">
        <w:rPr>
          <w:rFonts w:ascii="Arial" w:hAnsi="Arial" w:cs="Arial"/>
          <w:noProof/>
        </w:rPr>
        <w:t xml:space="preserve">engagements </w:t>
      </w:r>
      <w:r w:rsidR="00FC4FBD">
        <w:rPr>
          <w:rFonts w:ascii="Arial" w:hAnsi="Arial" w:cs="Arial"/>
          <w:noProof/>
        </w:rPr>
        <w:t xml:space="preserve">with </w:t>
      </w:r>
      <w:r w:rsidR="00DC30EF">
        <w:rPr>
          <w:rFonts w:ascii="Arial" w:hAnsi="Arial" w:cs="Arial"/>
          <w:noProof/>
        </w:rPr>
        <w:t xml:space="preserve">the Reserve Bank of </w:t>
      </w:r>
      <w:r w:rsidR="00FC4FBD">
        <w:rPr>
          <w:rFonts w:ascii="Arial" w:hAnsi="Arial" w:cs="Arial"/>
          <w:noProof/>
        </w:rPr>
        <w:t xml:space="preserve">India </w:t>
      </w:r>
      <w:r w:rsidR="00522D9D" w:rsidRPr="00BF2B23">
        <w:rPr>
          <w:rFonts w:ascii="Arial" w:hAnsi="Arial" w:cs="Arial"/>
          <w:noProof/>
        </w:rPr>
        <w:t>w</w:t>
      </w:r>
      <w:r w:rsidR="00242C5B" w:rsidRPr="00BF2B23">
        <w:rPr>
          <w:rFonts w:ascii="Arial" w:hAnsi="Arial" w:cs="Arial"/>
          <w:noProof/>
        </w:rPr>
        <w:t xml:space="preserve">ere premised on </w:t>
      </w:r>
      <w:r w:rsidR="00522D9D" w:rsidRPr="00BF2B23">
        <w:rPr>
          <w:rFonts w:ascii="Arial" w:hAnsi="Arial" w:cs="Arial"/>
          <w:noProof/>
        </w:rPr>
        <w:t>the sett</w:t>
      </w:r>
      <w:r w:rsidR="00C62B8E" w:rsidRPr="00BF2B23">
        <w:rPr>
          <w:rFonts w:ascii="Arial" w:hAnsi="Arial" w:cs="Arial"/>
          <w:noProof/>
        </w:rPr>
        <w:t>lement system</w:t>
      </w:r>
      <w:r w:rsidR="00B75B9C" w:rsidRPr="00BF2B23">
        <w:rPr>
          <w:rFonts w:ascii="Arial" w:hAnsi="Arial" w:cs="Arial"/>
          <w:noProof/>
        </w:rPr>
        <w:t>s</w:t>
      </w:r>
      <w:r w:rsidR="00C62B8E" w:rsidRPr="00BF2B23">
        <w:rPr>
          <w:rFonts w:ascii="Arial" w:hAnsi="Arial" w:cs="Arial"/>
          <w:noProof/>
        </w:rPr>
        <w:t xml:space="preserve"> </w:t>
      </w:r>
      <w:r w:rsidR="000B3BE7" w:rsidRPr="00BF2B23">
        <w:rPr>
          <w:rFonts w:ascii="Arial" w:hAnsi="Arial" w:cs="Arial"/>
          <w:noProof/>
        </w:rPr>
        <w:t>interlinking</w:t>
      </w:r>
      <w:r w:rsidR="00451402" w:rsidRPr="00BF2B23">
        <w:rPr>
          <w:rFonts w:ascii="Arial" w:hAnsi="Arial" w:cs="Arial"/>
          <w:noProof/>
        </w:rPr>
        <w:t xml:space="preserve">, </w:t>
      </w:r>
      <w:r w:rsidR="00EB0AED" w:rsidRPr="00BF2B23">
        <w:rPr>
          <w:rFonts w:ascii="Arial" w:hAnsi="Arial" w:cs="Arial"/>
          <w:noProof/>
        </w:rPr>
        <w:t xml:space="preserve">using their </w:t>
      </w:r>
      <w:r w:rsidR="00BF72BE" w:rsidRPr="00BF2B23">
        <w:rPr>
          <w:rFonts w:ascii="Arial" w:hAnsi="Arial" w:cs="Arial"/>
          <w:noProof/>
        </w:rPr>
        <w:t xml:space="preserve">respective </w:t>
      </w:r>
      <w:r w:rsidR="00EB0AED" w:rsidRPr="00BF2B23">
        <w:rPr>
          <w:rFonts w:ascii="Arial" w:hAnsi="Arial" w:cs="Arial"/>
          <w:noProof/>
        </w:rPr>
        <w:t xml:space="preserve">currencies. </w:t>
      </w:r>
    </w:p>
    <w:p w:rsidR="004630AB" w:rsidRPr="00BF2B23" w:rsidRDefault="007173C8" w:rsidP="001511A8">
      <w:p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noProof/>
          <w:lang w:val="en-GB"/>
        </w:rPr>
      </w:pPr>
      <w:r w:rsidRPr="00BF2B23">
        <w:rPr>
          <w:rFonts w:ascii="Arial" w:hAnsi="Arial" w:cs="Arial"/>
          <w:noProof/>
        </w:rPr>
        <w:t xml:space="preserve">The SARB </w:t>
      </w:r>
      <w:r w:rsidR="007F6E9A" w:rsidRPr="00BF2B23">
        <w:rPr>
          <w:rFonts w:ascii="Arial" w:hAnsi="Arial" w:cs="Arial"/>
          <w:noProof/>
        </w:rPr>
        <w:t>guided</w:t>
      </w:r>
      <w:r w:rsidR="00A730D5" w:rsidRPr="00BF2B23">
        <w:rPr>
          <w:rFonts w:ascii="Arial" w:hAnsi="Arial" w:cs="Arial"/>
          <w:noProof/>
        </w:rPr>
        <w:t xml:space="preserve"> that the </w:t>
      </w:r>
      <w:r w:rsidR="00AF2BE5" w:rsidRPr="00BF2B23">
        <w:rPr>
          <w:rFonts w:ascii="Arial" w:hAnsi="Arial" w:cs="Arial"/>
          <w:noProof/>
        </w:rPr>
        <w:t xml:space="preserve">interlinking </w:t>
      </w:r>
      <w:r w:rsidR="007F6E9A" w:rsidRPr="00BF2B23">
        <w:rPr>
          <w:rFonts w:ascii="Arial" w:hAnsi="Arial" w:cs="Arial"/>
          <w:noProof/>
        </w:rPr>
        <w:t xml:space="preserve">discussions be </w:t>
      </w:r>
      <w:r w:rsidR="008A4334" w:rsidRPr="00BF2B23">
        <w:rPr>
          <w:rFonts w:ascii="Arial" w:hAnsi="Arial" w:cs="Arial"/>
          <w:noProof/>
        </w:rPr>
        <w:t>h</w:t>
      </w:r>
      <w:r w:rsidR="00AB44F2" w:rsidRPr="00BF2B23">
        <w:rPr>
          <w:rFonts w:ascii="Arial" w:hAnsi="Arial" w:cs="Arial"/>
          <w:noProof/>
        </w:rPr>
        <w:t>e</w:t>
      </w:r>
      <w:r w:rsidR="008A4334" w:rsidRPr="00BF2B23">
        <w:rPr>
          <w:rFonts w:ascii="Arial" w:hAnsi="Arial" w:cs="Arial"/>
          <w:noProof/>
        </w:rPr>
        <w:t xml:space="preserve">ld in abeyance until after the </w:t>
      </w:r>
      <w:r w:rsidR="00B60899" w:rsidRPr="00BF2B23">
        <w:rPr>
          <w:rFonts w:ascii="Arial" w:hAnsi="Arial" w:cs="Arial"/>
          <w:noProof/>
        </w:rPr>
        <w:t xml:space="preserve">several </w:t>
      </w:r>
      <w:r w:rsidR="00077987" w:rsidRPr="00BF2B23">
        <w:rPr>
          <w:rFonts w:ascii="Arial" w:hAnsi="Arial" w:cs="Arial"/>
          <w:noProof/>
        </w:rPr>
        <w:t>domestic</w:t>
      </w:r>
      <w:r w:rsidR="00A77FB2" w:rsidRPr="00BF2B23">
        <w:rPr>
          <w:rFonts w:ascii="Arial" w:hAnsi="Arial" w:cs="Arial"/>
          <w:noProof/>
        </w:rPr>
        <w:t xml:space="preserve"> and regional payments</w:t>
      </w:r>
      <w:r w:rsidR="00077987" w:rsidRPr="00BF2B23">
        <w:rPr>
          <w:rFonts w:ascii="Arial" w:hAnsi="Arial" w:cs="Arial"/>
          <w:noProof/>
        </w:rPr>
        <w:t xml:space="preserve"> </w:t>
      </w:r>
      <w:r w:rsidR="00B60899" w:rsidRPr="00BF2B23">
        <w:rPr>
          <w:rFonts w:ascii="Arial" w:hAnsi="Arial" w:cs="Arial"/>
          <w:noProof/>
        </w:rPr>
        <w:t xml:space="preserve">initiatives </w:t>
      </w:r>
      <w:r w:rsidR="00077987" w:rsidRPr="00BF2B23">
        <w:rPr>
          <w:rFonts w:ascii="Arial" w:hAnsi="Arial" w:cs="Arial"/>
          <w:noProof/>
        </w:rPr>
        <w:t xml:space="preserve">led by the SARB </w:t>
      </w:r>
      <w:r w:rsidR="00251D7D" w:rsidRPr="00BF2B23">
        <w:rPr>
          <w:rFonts w:ascii="Arial" w:hAnsi="Arial" w:cs="Arial"/>
          <w:noProof/>
        </w:rPr>
        <w:t>have been concluded</w:t>
      </w:r>
      <w:r w:rsidR="00A77FB2" w:rsidRPr="00BF2B23">
        <w:rPr>
          <w:rFonts w:ascii="Arial" w:hAnsi="Arial" w:cs="Arial"/>
          <w:noProof/>
        </w:rPr>
        <w:t>/implemented</w:t>
      </w:r>
      <w:r w:rsidR="00251D7D" w:rsidRPr="00BF2B23">
        <w:rPr>
          <w:rFonts w:ascii="Arial" w:hAnsi="Arial" w:cs="Arial"/>
          <w:noProof/>
        </w:rPr>
        <w:t xml:space="preserve">. These include the </w:t>
      </w:r>
      <w:r w:rsidR="007352A5" w:rsidRPr="00BF2B23">
        <w:rPr>
          <w:rFonts w:ascii="Arial" w:hAnsi="Arial" w:cs="Arial"/>
          <w:noProof/>
        </w:rPr>
        <w:t xml:space="preserve">Real Time Gross Settlement System </w:t>
      </w:r>
      <w:r w:rsidR="00641E91" w:rsidRPr="00BF2B23">
        <w:rPr>
          <w:rFonts w:ascii="Arial" w:hAnsi="Arial" w:cs="Arial"/>
          <w:noProof/>
        </w:rPr>
        <w:t>(</w:t>
      </w:r>
      <w:r w:rsidR="00251D7D" w:rsidRPr="00BF2B23">
        <w:rPr>
          <w:rFonts w:ascii="Arial" w:hAnsi="Arial" w:cs="Arial"/>
          <w:noProof/>
        </w:rPr>
        <w:t>RTGS</w:t>
      </w:r>
      <w:r w:rsidR="00641E91" w:rsidRPr="00BF2B23">
        <w:rPr>
          <w:rFonts w:ascii="Arial" w:hAnsi="Arial" w:cs="Arial"/>
          <w:noProof/>
        </w:rPr>
        <w:t>) R</w:t>
      </w:r>
      <w:r w:rsidR="00251D7D" w:rsidRPr="00BF2B23">
        <w:rPr>
          <w:rFonts w:ascii="Arial" w:hAnsi="Arial" w:cs="Arial"/>
          <w:noProof/>
        </w:rPr>
        <w:t xml:space="preserve">enewal, </w:t>
      </w:r>
      <w:r w:rsidR="00641E91" w:rsidRPr="00BF2B23">
        <w:rPr>
          <w:rFonts w:ascii="Arial" w:hAnsi="Arial" w:cs="Arial"/>
          <w:noProof/>
        </w:rPr>
        <w:t>the Association of African Central Banks (</w:t>
      </w:r>
      <w:r w:rsidR="00B0295D" w:rsidRPr="00BF2B23">
        <w:rPr>
          <w:rFonts w:ascii="Arial" w:hAnsi="Arial" w:cs="Arial"/>
          <w:noProof/>
        </w:rPr>
        <w:t>AACB</w:t>
      </w:r>
      <w:r w:rsidR="00641E91" w:rsidRPr="00BF2B23">
        <w:rPr>
          <w:rFonts w:ascii="Arial" w:hAnsi="Arial" w:cs="Arial"/>
          <w:noProof/>
        </w:rPr>
        <w:t>)</w:t>
      </w:r>
      <w:r w:rsidR="00B0295D" w:rsidRPr="00BF2B23">
        <w:rPr>
          <w:rFonts w:ascii="Arial" w:hAnsi="Arial" w:cs="Arial"/>
          <w:noProof/>
        </w:rPr>
        <w:t xml:space="preserve"> </w:t>
      </w:r>
      <w:r w:rsidR="00B72ED8" w:rsidRPr="00BF2B23">
        <w:rPr>
          <w:rFonts w:ascii="Arial" w:hAnsi="Arial" w:cs="Arial"/>
          <w:noProof/>
        </w:rPr>
        <w:t xml:space="preserve">and </w:t>
      </w:r>
      <w:r w:rsidR="00641E91" w:rsidRPr="00BF2B23">
        <w:rPr>
          <w:rFonts w:ascii="Arial" w:hAnsi="Arial" w:cs="Arial"/>
          <w:noProof/>
        </w:rPr>
        <w:t>the South</w:t>
      </w:r>
      <w:r w:rsidR="00AE69DA" w:rsidRPr="00BF2B23">
        <w:rPr>
          <w:rFonts w:ascii="Arial" w:hAnsi="Arial" w:cs="Arial"/>
          <w:noProof/>
        </w:rPr>
        <w:t xml:space="preserve">ern African Development Community </w:t>
      </w:r>
      <w:r w:rsidR="00171FA4" w:rsidRPr="00BF2B23">
        <w:rPr>
          <w:rFonts w:ascii="Arial" w:hAnsi="Arial" w:cs="Arial"/>
          <w:noProof/>
        </w:rPr>
        <w:t>(</w:t>
      </w:r>
      <w:r w:rsidR="00B72ED8" w:rsidRPr="00BF2B23">
        <w:rPr>
          <w:rFonts w:ascii="Arial" w:hAnsi="Arial" w:cs="Arial"/>
          <w:noProof/>
        </w:rPr>
        <w:t>S</w:t>
      </w:r>
      <w:r w:rsidR="00281248" w:rsidRPr="00BF2B23">
        <w:rPr>
          <w:rFonts w:ascii="Arial" w:hAnsi="Arial" w:cs="Arial"/>
          <w:noProof/>
        </w:rPr>
        <w:t>ADC</w:t>
      </w:r>
      <w:r w:rsidR="00171FA4" w:rsidRPr="00BF2B23">
        <w:rPr>
          <w:rFonts w:ascii="Arial" w:hAnsi="Arial" w:cs="Arial"/>
          <w:noProof/>
        </w:rPr>
        <w:t>)</w:t>
      </w:r>
      <w:r w:rsidR="00281248" w:rsidRPr="00BF2B23">
        <w:rPr>
          <w:rFonts w:ascii="Arial" w:hAnsi="Arial" w:cs="Arial"/>
          <w:noProof/>
        </w:rPr>
        <w:t xml:space="preserve"> initiatives</w:t>
      </w:r>
      <w:r w:rsidR="00394D35" w:rsidRPr="00BF2B23">
        <w:rPr>
          <w:rFonts w:ascii="Arial" w:hAnsi="Arial" w:cs="Arial"/>
          <w:noProof/>
        </w:rPr>
        <w:t xml:space="preserve">. </w:t>
      </w:r>
      <w:r w:rsidR="00B75B06" w:rsidRPr="00BF2B23">
        <w:rPr>
          <w:rFonts w:ascii="Arial" w:hAnsi="Arial" w:cs="Arial"/>
          <w:noProof/>
        </w:rPr>
        <w:t>Additionally, progress</w:t>
      </w:r>
      <w:r w:rsidR="004877D6" w:rsidRPr="00BF2B23">
        <w:rPr>
          <w:rFonts w:ascii="Arial" w:hAnsi="Arial" w:cs="Arial"/>
        </w:rPr>
        <w:t xml:space="preserve"> and development </w:t>
      </w:r>
      <w:r w:rsidR="00515B78" w:rsidRPr="00BF2B23">
        <w:rPr>
          <w:rFonts w:ascii="Arial" w:hAnsi="Arial" w:cs="Arial"/>
        </w:rPr>
        <w:t>will</w:t>
      </w:r>
      <w:r w:rsidR="004877D6" w:rsidRPr="00BF2B23">
        <w:rPr>
          <w:rFonts w:ascii="Arial" w:hAnsi="Arial" w:cs="Arial"/>
        </w:rPr>
        <w:t xml:space="preserve"> also </w:t>
      </w:r>
      <w:r w:rsidR="00515B78" w:rsidRPr="00BF2B23">
        <w:rPr>
          <w:rFonts w:ascii="Arial" w:hAnsi="Arial" w:cs="Arial"/>
        </w:rPr>
        <w:t xml:space="preserve">be </w:t>
      </w:r>
      <w:r w:rsidR="004877D6" w:rsidRPr="00BF2B23">
        <w:rPr>
          <w:rFonts w:ascii="Arial" w:hAnsi="Arial" w:cs="Arial"/>
        </w:rPr>
        <w:t>driven by the market’s appetite to settle in alternative currencies</w:t>
      </w:r>
      <w:r w:rsidR="00515B78" w:rsidRPr="00BF2B23">
        <w:rPr>
          <w:rFonts w:ascii="Arial" w:hAnsi="Arial" w:cs="Arial"/>
        </w:rPr>
        <w:t xml:space="preserve">. </w:t>
      </w:r>
    </w:p>
    <w:p w:rsidR="00052DE9" w:rsidRDefault="00052DE9" w:rsidP="00052DE9">
      <w:pPr>
        <w:spacing w:before="100" w:beforeAutospacing="1" w:after="100" w:afterAutospacing="1"/>
        <w:jc w:val="both"/>
        <w:rPr>
          <w:rFonts w:ascii="Arial" w:hAnsi="Arial" w:cs="Arial"/>
          <w:noProof/>
          <w:lang w:val="en-GB"/>
        </w:rPr>
      </w:pPr>
    </w:p>
    <w:p w:rsidR="00052DE9" w:rsidRDefault="00052DE9" w:rsidP="00052DE9">
      <w:pPr>
        <w:spacing w:before="100" w:beforeAutospacing="1" w:after="100" w:afterAutospacing="1"/>
        <w:jc w:val="both"/>
        <w:rPr>
          <w:rFonts w:ascii="Arial" w:hAnsi="Arial" w:cs="Arial"/>
          <w:noProof/>
          <w:lang w:val="en-GB"/>
        </w:rPr>
      </w:pPr>
    </w:p>
    <w:p w:rsidR="00052DE9" w:rsidRDefault="00052DE9" w:rsidP="00052DE9">
      <w:pPr>
        <w:spacing w:before="100" w:beforeAutospacing="1" w:after="100" w:afterAutospacing="1"/>
        <w:jc w:val="both"/>
        <w:rPr>
          <w:rFonts w:ascii="Arial" w:hAnsi="Arial" w:cs="Arial"/>
          <w:noProof/>
          <w:lang w:val="en-GB"/>
        </w:rPr>
      </w:pPr>
    </w:p>
    <w:sectPr w:rsidR="00052DE9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6E" w:rsidRDefault="00BC0E6E">
      <w:r>
        <w:separator/>
      </w:r>
    </w:p>
  </w:endnote>
  <w:endnote w:type="continuationSeparator" w:id="0">
    <w:p w:rsidR="00BC0E6E" w:rsidRDefault="00BC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2F2F61">
        <w:pPr>
          <w:pStyle w:val="Footer"/>
          <w:jc w:val="center"/>
        </w:pPr>
        <w:r>
          <w:fldChar w:fldCharType="begin"/>
        </w:r>
        <w:r w:rsidR="00426AB1">
          <w:instrText xml:space="preserve"> PAGE   \* MERGEFORMAT </w:instrText>
        </w:r>
        <w:r>
          <w:fldChar w:fldCharType="separate"/>
        </w:r>
        <w:r w:rsidR="00BC0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BC0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6E" w:rsidRDefault="00BC0E6E">
      <w:r>
        <w:separator/>
      </w:r>
    </w:p>
  </w:footnote>
  <w:footnote w:type="continuationSeparator" w:id="0">
    <w:p w:rsidR="00BC0E6E" w:rsidRDefault="00BC0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C5F"/>
    <w:multiLevelType w:val="hybridMultilevel"/>
    <w:tmpl w:val="9C34FAF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A411A7"/>
    <w:multiLevelType w:val="hybridMultilevel"/>
    <w:tmpl w:val="D4A08030"/>
    <w:lvl w:ilvl="0" w:tplc="430C9E92">
      <w:start w:val="1"/>
      <w:numFmt w:val="lowerRoman"/>
      <w:lvlText w:val="%1."/>
      <w:lvlJc w:val="left"/>
      <w:pPr>
        <w:ind w:left="1429" w:hanging="720"/>
      </w:p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>
      <w:start w:val="1"/>
      <w:numFmt w:val="lowerRoman"/>
      <w:lvlText w:val="%3."/>
      <w:lvlJc w:val="right"/>
      <w:pPr>
        <w:ind w:left="2509" w:hanging="180"/>
      </w:pPr>
    </w:lvl>
    <w:lvl w:ilvl="3" w:tplc="1C09000F">
      <w:start w:val="1"/>
      <w:numFmt w:val="decimal"/>
      <w:lvlText w:val="%4."/>
      <w:lvlJc w:val="left"/>
      <w:pPr>
        <w:ind w:left="3229" w:hanging="360"/>
      </w:pPr>
    </w:lvl>
    <w:lvl w:ilvl="4" w:tplc="1C090019">
      <w:start w:val="1"/>
      <w:numFmt w:val="lowerLetter"/>
      <w:lvlText w:val="%5."/>
      <w:lvlJc w:val="left"/>
      <w:pPr>
        <w:ind w:left="3949" w:hanging="360"/>
      </w:pPr>
    </w:lvl>
    <w:lvl w:ilvl="5" w:tplc="1C09001B">
      <w:start w:val="1"/>
      <w:numFmt w:val="lowerRoman"/>
      <w:lvlText w:val="%6."/>
      <w:lvlJc w:val="right"/>
      <w:pPr>
        <w:ind w:left="4669" w:hanging="180"/>
      </w:pPr>
    </w:lvl>
    <w:lvl w:ilvl="6" w:tplc="1C09000F">
      <w:start w:val="1"/>
      <w:numFmt w:val="decimal"/>
      <w:lvlText w:val="%7."/>
      <w:lvlJc w:val="left"/>
      <w:pPr>
        <w:ind w:left="5389" w:hanging="360"/>
      </w:pPr>
    </w:lvl>
    <w:lvl w:ilvl="7" w:tplc="1C090019">
      <w:start w:val="1"/>
      <w:numFmt w:val="lowerLetter"/>
      <w:lvlText w:val="%8."/>
      <w:lvlJc w:val="left"/>
      <w:pPr>
        <w:ind w:left="6109" w:hanging="360"/>
      </w:pPr>
    </w:lvl>
    <w:lvl w:ilvl="8" w:tplc="1C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D3BF8"/>
    <w:multiLevelType w:val="hybridMultilevel"/>
    <w:tmpl w:val="B5AC1FF8"/>
    <w:lvl w:ilvl="0" w:tplc="1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3147855"/>
    <w:multiLevelType w:val="hybridMultilevel"/>
    <w:tmpl w:val="96D02288"/>
    <w:lvl w:ilvl="0" w:tplc="74F457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D49FC"/>
    <w:multiLevelType w:val="hybridMultilevel"/>
    <w:tmpl w:val="FADC5118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EA1E2F"/>
    <w:multiLevelType w:val="hybridMultilevel"/>
    <w:tmpl w:val="65D644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qwUAVnjxiSwAAAA="/>
  </w:docVars>
  <w:rsids>
    <w:rsidRoot w:val="005C4707"/>
    <w:rsid w:val="00004E6F"/>
    <w:rsid w:val="00013E9A"/>
    <w:rsid w:val="00043695"/>
    <w:rsid w:val="000478AE"/>
    <w:rsid w:val="00052DE9"/>
    <w:rsid w:val="00056FE9"/>
    <w:rsid w:val="00077987"/>
    <w:rsid w:val="000914A1"/>
    <w:rsid w:val="000B3BE7"/>
    <w:rsid w:val="000F6C48"/>
    <w:rsid w:val="00112895"/>
    <w:rsid w:val="001511A8"/>
    <w:rsid w:val="00171FA4"/>
    <w:rsid w:val="001D26A9"/>
    <w:rsid w:val="001E0F80"/>
    <w:rsid w:val="00204A1C"/>
    <w:rsid w:val="002076E0"/>
    <w:rsid w:val="002278CB"/>
    <w:rsid w:val="00242C5B"/>
    <w:rsid w:val="00251D7D"/>
    <w:rsid w:val="0026000E"/>
    <w:rsid w:val="002616A6"/>
    <w:rsid w:val="00280512"/>
    <w:rsid w:val="00281248"/>
    <w:rsid w:val="002A38D2"/>
    <w:rsid w:val="002A6CB4"/>
    <w:rsid w:val="002B5062"/>
    <w:rsid w:val="002D4A16"/>
    <w:rsid w:val="002D596F"/>
    <w:rsid w:val="002F2F61"/>
    <w:rsid w:val="002F305D"/>
    <w:rsid w:val="0037096D"/>
    <w:rsid w:val="003817BC"/>
    <w:rsid w:val="00394D35"/>
    <w:rsid w:val="003B4DDB"/>
    <w:rsid w:val="003C6EEC"/>
    <w:rsid w:val="003E4B74"/>
    <w:rsid w:val="00400E55"/>
    <w:rsid w:val="0040249A"/>
    <w:rsid w:val="00402CDC"/>
    <w:rsid w:val="00403E43"/>
    <w:rsid w:val="00417C04"/>
    <w:rsid w:val="00426AB1"/>
    <w:rsid w:val="0044541D"/>
    <w:rsid w:val="00451402"/>
    <w:rsid w:val="00463062"/>
    <w:rsid w:val="004630AB"/>
    <w:rsid w:val="00464BDF"/>
    <w:rsid w:val="00476EA2"/>
    <w:rsid w:val="004877D6"/>
    <w:rsid w:val="004972BC"/>
    <w:rsid w:val="004E3C6A"/>
    <w:rsid w:val="00515B78"/>
    <w:rsid w:val="00521768"/>
    <w:rsid w:val="00522D9D"/>
    <w:rsid w:val="0055321F"/>
    <w:rsid w:val="005634CC"/>
    <w:rsid w:val="00570014"/>
    <w:rsid w:val="00580084"/>
    <w:rsid w:val="005866A9"/>
    <w:rsid w:val="005C4707"/>
    <w:rsid w:val="005D6271"/>
    <w:rsid w:val="005F04AF"/>
    <w:rsid w:val="00641E91"/>
    <w:rsid w:val="006B3A77"/>
    <w:rsid w:val="006E1981"/>
    <w:rsid w:val="006E29B5"/>
    <w:rsid w:val="006F2B2E"/>
    <w:rsid w:val="00713000"/>
    <w:rsid w:val="007173C8"/>
    <w:rsid w:val="007352A5"/>
    <w:rsid w:val="007525EF"/>
    <w:rsid w:val="007570C9"/>
    <w:rsid w:val="00784F67"/>
    <w:rsid w:val="0078731E"/>
    <w:rsid w:val="00792EBB"/>
    <w:rsid w:val="007E169F"/>
    <w:rsid w:val="007F0A6B"/>
    <w:rsid w:val="007F6E9A"/>
    <w:rsid w:val="0081739C"/>
    <w:rsid w:val="00827DB0"/>
    <w:rsid w:val="00875CEF"/>
    <w:rsid w:val="008A4334"/>
    <w:rsid w:val="008A4988"/>
    <w:rsid w:val="008D15CB"/>
    <w:rsid w:val="008F05AC"/>
    <w:rsid w:val="00901291"/>
    <w:rsid w:val="00903E83"/>
    <w:rsid w:val="009049E8"/>
    <w:rsid w:val="00911557"/>
    <w:rsid w:val="009433B9"/>
    <w:rsid w:val="009733B8"/>
    <w:rsid w:val="009B3467"/>
    <w:rsid w:val="009C0EE5"/>
    <w:rsid w:val="00A33523"/>
    <w:rsid w:val="00A730D5"/>
    <w:rsid w:val="00A73A4E"/>
    <w:rsid w:val="00A77FB2"/>
    <w:rsid w:val="00A84AD6"/>
    <w:rsid w:val="00A859E0"/>
    <w:rsid w:val="00A94C24"/>
    <w:rsid w:val="00A95E52"/>
    <w:rsid w:val="00AB0911"/>
    <w:rsid w:val="00AB259E"/>
    <w:rsid w:val="00AB44F2"/>
    <w:rsid w:val="00AC7835"/>
    <w:rsid w:val="00AD4E73"/>
    <w:rsid w:val="00AE69DA"/>
    <w:rsid w:val="00AF2BE5"/>
    <w:rsid w:val="00B0295D"/>
    <w:rsid w:val="00B07672"/>
    <w:rsid w:val="00B22C27"/>
    <w:rsid w:val="00B33349"/>
    <w:rsid w:val="00B36D3D"/>
    <w:rsid w:val="00B60899"/>
    <w:rsid w:val="00B72ED8"/>
    <w:rsid w:val="00B73CAD"/>
    <w:rsid w:val="00B75149"/>
    <w:rsid w:val="00B75B06"/>
    <w:rsid w:val="00B75B9C"/>
    <w:rsid w:val="00BC0E6E"/>
    <w:rsid w:val="00BD1AB8"/>
    <w:rsid w:val="00BF2B23"/>
    <w:rsid w:val="00BF4E3A"/>
    <w:rsid w:val="00BF72BE"/>
    <w:rsid w:val="00C157BA"/>
    <w:rsid w:val="00C62B8E"/>
    <w:rsid w:val="00C862B4"/>
    <w:rsid w:val="00CF5324"/>
    <w:rsid w:val="00D5240C"/>
    <w:rsid w:val="00D62C04"/>
    <w:rsid w:val="00D731D0"/>
    <w:rsid w:val="00D96D81"/>
    <w:rsid w:val="00DC30EF"/>
    <w:rsid w:val="00DF28C4"/>
    <w:rsid w:val="00DF50A6"/>
    <w:rsid w:val="00E31C63"/>
    <w:rsid w:val="00E34D69"/>
    <w:rsid w:val="00E83B6D"/>
    <w:rsid w:val="00EB0AED"/>
    <w:rsid w:val="00EC64A7"/>
    <w:rsid w:val="00F05C01"/>
    <w:rsid w:val="00F55B61"/>
    <w:rsid w:val="00F60DAD"/>
    <w:rsid w:val="00FA5C8A"/>
    <w:rsid w:val="00FB2E0B"/>
    <w:rsid w:val="00FB32CE"/>
    <w:rsid w:val="00FC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EC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207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1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2023-07-04T10:35:00Z</dcterms:created>
  <dcterms:modified xsi:type="dcterms:W3CDTF">2023-07-04T10:35:00Z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