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r>
        <w:rPr>
          <w:noProof/>
          <w:lang w:val="en-ZA" w:eastAsia="en-ZA"/>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C632AA" w:rsidRDefault="00C632AA" w:rsidP="008960B2">
      <w:pPr>
        <w:jc w:val="center"/>
        <w:rPr>
          <w:rFonts w:ascii="Tahoma" w:hAnsi="Tahoma" w:cs="Tahoma"/>
          <w:b/>
          <w:bCs/>
          <w:sz w:val="22"/>
          <w:szCs w:val="22"/>
        </w:rPr>
      </w:pPr>
    </w:p>
    <w:p w:rsidR="008960B2" w:rsidRPr="00987C9F" w:rsidRDefault="008960B2" w:rsidP="00C632AA">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C632AA">
      <w:pPr>
        <w:jc w:val="cente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C632AA">
      <w:pPr>
        <w:jc w:val="cente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F9159E">
        <w:rPr>
          <w:rFonts w:ascii="Tahoma" w:hAnsi="Tahoma" w:cs="Tahoma"/>
          <w:b/>
          <w:bCs/>
          <w:sz w:val="22"/>
          <w:szCs w:val="22"/>
          <w:lang w:val="en-ZA"/>
        </w:rPr>
        <w:t>1</w:t>
      </w:r>
      <w:r w:rsidR="0062623E">
        <w:rPr>
          <w:rFonts w:ascii="Tahoma" w:hAnsi="Tahoma" w:cs="Tahoma"/>
          <w:b/>
          <w:bCs/>
          <w:sz w:val="22"/>
          <w:szCs w:val="22"/>
          <w:lang w:val="en-ZA"/>
        </w:rPr>
        <w:t>411</w:t>
      </w:r>
    </w:p>
    <w:p w:rsidR="008960B2" w:rsidRPr="00987C9F" w:rsidRDefault="008960B2" w:rsidP="008960B2">
      <w:pPr>
        <w:rPr>
          <w:rFonts w:ascii="Tahoma" w:hAnsi="Tahoma" w:cs="Tahoma"/>
          <w:b/>
          <w:bCs/>
          <w:sz w:val="22"/>
          <w:szCs w:val="22"/>
          <w:lang w:val="en-ZA"/>
        </w:rPr>
      </w:pPr>
    </w:p>
    <w:p w:rsidR="003042F7" w:rsidRPr="00F10B44" w:rsidRDefault="003042F7" w:rsidP="00F10B44">
      <w:pPr>
        <w:autoSpaceDE w:val="0"/>
        <w:autoSpaceDN w:val="0"/>
        <w:adjustRightInd w:val="0"/>
        <w:spacing w:line="276" w:lineRule="auto"/>
        <w:rPr>
          <w:rFonts w:ascii="Arial" w:hAnsi="Arial" w:cs="Arial"/>
          <w:b/>
        </w:rPr>
      </w:pPr>
      <w:r w:rsidRPr="00F10B44">
        <w:rPr>
          <w:rFonts w:ascii="Arial" w:hAnsi="Arial" w:cs="Arial"/>
          <w:b/>
          <w:bCs/>
          <w:noProof/>
          <w:lang w:val="en-ZA" w:eastAsia="en-ZA"/>
        </w:rPr>
        <mc:AlternateContent>
          <mc:Choice Requires="wpi">
            <w:drawing>
              <wp:anchor distT="0" distB="0" distL="114300" distR="114300" simplePos="0" relativeHeight="251661824" behindDoc="0" locked="0" layoutInCell="1" allowOverlap="1" wp14:anchorId="364C68EF" wp14:editId="2C625E22">
                <wp:simplePos x="0" y="0"/>
                <wp:positionH relativeFrom="column">
                  <wp:posOffset>7822010</wp:posOffset>
                </wp:positionH>
                <wp:positionV relativeFrom="paragraph">
                  <wp:posOffset>-525813</wp:posOffset>
                </wp:positionV>
                <wp:extent cx="96840" cy="1392480"/>
                <wp:effectExtent l="38100" t="38100" r="36830" b="36830"/>
                <wp:wrapNone/>
                <wp:docPr id="83" name="Ink 83"/>
                <wp:cNvGraphicFramePr/>
                <a:graphic xmlns:a="http://schemas.openxmlformats.org/drawingml/2006/main">
                  <a:graphicData uri="http://schemas.microsoft.com/office/word/2010/wordprocessingInk">
                    <w14:contentPart bwMode="auto" r:id="rId9">
                      <w14:nvContentPartPr>
                        <w14:cNvContentPartPr/>
                      </w14:nvContentPartPr>
                      <w14:xfrm>
                        <a:off x="0" y="0"/>
                        <a:ext cx="96840" cy="1392480"/>
                      </w14:xfrm>
                    </w14:contentPart>
                  </a:graphicData>
                </a:graphic>
              </wp:anchor>
            </w:drawing>
          </mc:Choice>
          <mc:Fallback>
            <w:pict>
              <v:shapetype w14:anchorId="424CFF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">
                <v:imagedata r:id="rId12" o:title=""/>
              </v:shape>
            </w:pict>
          </mc:Fallback>
        </mc:AlternateContent>
      </w:r>
      <w:r w:rsidRPr="00F10B44">
        <w:rPr>
          <w:rFonts w:ascii="Arial" w:hAnsi="Arial" w:cs="Arial"/>
          <w:b/>
          <w:u w:val="single"/>
        </w:rPr>
        <w:t>QUESTION</w:t>
      </w:r>
      <w:r w:rsidRPr="00F10B44">
        <w:rPr>
          <w:rFonts w:ascii="Arial" w:hAnsi="Arial" w:cs="Arial"/>
          <w:b/>
        </w:rPr>
        <w:t>:</w:t>
      </w:r>
    </w:p>
    <w:p w:rsidR="0062623E" w:rsidRDefault="0062623E" w:rsidP="00F10B44">
      <w:pPr>
        <w:spacing w:before="100" w:beforeAutospacing="1" w:after="100" w:afterAutospacing="1" w:line="276" w:lineRule="auto"/>
        <w:jc w:val="both"/>
        <w:outlineLvl w:val="0"/>
        <w:rPr>
          <w:rFonts w:ascii="Arial" w:hAnsi="Arial" w:cs="Arial"/>
          <w:b/>
          <w:bCs/>
        </w:rPr>
      </w:pPr>
      <w:r w:rsidRPr="0062623E">
        <w:rPr>
          <w:rFonts w:ascii="Arial" w:hAnsi="Arial" w:cs="Arial"/>
          <w:b/>
          <w:bCs/>
        </w:rPr>
        <w:t xml:space="preserve">Mr D Joseph (DA) to ask the Minister of Public Enterprises: </w:t>
      </w:r>
    </w:p>
    <w:p w:rsidR="0057546C" w:rsidRDefault="0062623E" w:rsidP="0057546C">
      <w:pPr>
        <w:pStyle w:val="ListParagraph"/>
        <w:numPr>
          <w:ilvl w:val="0"/>
          <w:numId w:val="24"/>
        </w:numPr>
        <w:spacing w:before="100" w:beforeAutospacing="1" w:after="100" w:afterAutospacing="1" w:line="276" w:lineRule="auto"/>
        <w:ind w:left="426" w:hanging="426"/>
        <w:jc w:val="both"/>
        <w:outlineLvl w:val="0"/>
        <w:rPr>
          <w:rFonts w:ascii="Arial" w:hAnsi="Arial" w:cs="Arial"/>
          <w:bCs/>
        </w:rPr>
      </w:pPr>
      <w:r w:rsidRPr="0057546C">
        <w:rPr>
          <w:rFonts w:ascii="Arial" w:hAnsi="Arial" w:cs="Arial"/>
          <w:bCs/>
        </w:rPr>
        <w:t xml:space="preserve">Which types of functions or skills have been declared non-core in Eskom, </w:t>
      </w:r>
    </w:p>
    <w:p w:rsidR="0057546C" w:rsidRDefault="0057546C" w:rsidP="0057546C">
      <w:pPr>
        <w:pStyle w:val="ListParagraph"/>
        <w:numPr>
          <w:ilvl w:val="0"/>
          <w:numId w:val="24"/>
        </w:numPr>
        <w:spacing w:before="100" w:beforeAutospacing="1" w:after="100" w:afterAutospacing="1" w:line="276" w:lineRule="auto"/>
        <w:ind w:left="426" w:hanging="426"/>
        <w:jc w:val="both"/>
        <w:outlineLvl w:val="0"/>
        <w:rPr>
          <w:rFonts w:ascii="Arial" w:hAnsi="Arial" w:cs="Arial"/>
          <w:bCs/>
        </w:rPr>
      </w:pPr>
      <w:r>
        <w:rPr>
          <w:rFonts w:ascii="Arial" w:hAnsi="Arial" w:cs="Arial"/>
          <w:bCs/>
        </w:rPr>
        <w:t>W</w:t>
      </w:r>
      <w:r w:rsidR="0062623E" w:rsidRPr="0057546C">
        <w:rPr>
          <w:rFonts w:ascii="Arial" w:hAnsi="Arial" w:cs="Arial"/>
          <w:bCs/>
        </w:rPr>
        <w:t xml:space="preserve">hat is the budget attached to the non-core functions and/or skills as declared by Eskom and </w:t>
      </w:r>
    </w:p>
    <w:p w:rsidR="0062623E" w:rsidRPr="0057546C" w:rsidRDefault="0057546C" w:rsidP="0057546C">
      <w:pPr>
        <w:pStyle w:val="ListParagraph"/>
        <w:numPr>
          <w:ilvl w:val="0"/>
          <w:numId w:val="24"/>
        </w:numPr>
        <w:spacing w:before="100" w:beforeAutospacing="1" w:after="100" w:afterAutospacing="1" w:line="276" w:lineRule="auto"/>
        <w:ind w:left="426" w:hanging="426"/>
        <w:jc w:val="both"/>
        <w:outlineLvl w:val="0"/>
        <w:rPr>
          <w:rFonts w:ascii="Arial" w:hAnsi="Arial" w:cs="Arial"/>
          <w:bCs/>
        </w:rPr>
      </w:pPr>
      <w:r>
        <w:rPr>
          <w:rFonts w:ascii="Arial" w:hAnsi="Arial" w:cs="Arial"/>
          <w:bCs/>
        </w:rPr>
        <w:t>H</w:t>
      </w:r>
      <w:r w:rsidR="0062623E" w:rsidRPr="0057546C">
        <w:rPr>
          <w:rFonts w:ascii="Arial" w:hAnsi="Arial" w:cs="Arial"/>
          <w:bCs/>
        </w:rPr>
        <w:t>ow does Eskom intend to deal with the functions and/or skills that have been declared non-core?</w:t>
      </w:r>
    </w:p>
    <w:p w:rsidR="00C632AA" w:rsidRDefault="00C632AA" w:rsidP="00F10B44">
      <w:pPr>
        <w:spacing w:before="100" w:beforeAutospacing="1" w:after="100" w:afterAutospacing="1" w:line="276" w:lineRule="auto"/>
        <w:jc w:val="both"/>
        <w:outlineLvl w:val="0"/>
        <w:rPr>
          <w:rFonts w:ascii="Arial" w:hAnsi="Arial" w:cs="Arial"/>
          <w:b/>
          <w:u w:val="single"/>
        </w:rPr>
      </w:pPr>
    </w:p>
    <w:p w:rsidR="00606CE8" w:rsidRPr="00F10B44" w:rsidRDefault="003042F7" w:rsidP="00F10B44">
      <w:pPr>
        <w:spacing w:before="100" w:beforeAutospacing="1" w:after="100" w:afterAutospacing="1" w:line="276" w:lineRule="auto"/>
        <w:jc w:val="both"/>
        <w:outlineLvl w:val="0"/>
        <w:rPr>
          <w:rFonts w:ascii="Arial" w:hAnsi="Arial" w:cs="Arial"/>
          <w:b/>
          <w:u w:val="single"/>
        </w:rPr>
      </w:pPr>
      <w:bookmarkStart w:id="0" w:name="_GoBack"/>
      <w:bookmarkEnd w:id="0"/>
      <w:r w:rsidRPr="00F10B44">
        <w:rPr>
          <w:rFonts w:ascii="Arial" w:hAnsi="Arial" w:cs="Arial"/>
          <w:b/>
          <w:u w:val="single"/>
        </w:rPr>
        <w:t>REPLY:</w:t>
      </w:r>
    </w:p>
    <w:p w:rsidR="003F44CF" w:rsidRPr="00F10B44" w:rsidRDefault="003F44CF" w:rsidP="00F10B44">
      <w:pPr>
        <w:spacing w:before="100" w:beforeAutospacing="1" w:after="100" w:afterAutospacing="1" w:line="276" w:lineRule="auto"/>
        <w:jc w:val="both"/>
        <w:outlineLvl w:val="0"/>
        <w:rPr>
          <w:rFonts w:ascii="Arial" w:hAnsi="Arial" w:cs="Arial"/>
          <w:b/>
        </w:rPr>
      </w:pPr>
      <w:r w:rsidRPr="00F10B44">
        <w:rPr>
          <w:rFonts w:ascii="Arial" w:hAnsi="Arial" w:cs="Arial"/>
          <w:b/>
        </w:rPr>
        <w:t>Accordingly to the information received from Eskom</w:t>
      </w:r>
    </w:p>
    <w:p w:rsidR="0057546C" w:rsidRPr="0057546C" w:rsidRDefault="0057546C" w:rsidP="0057546C">
      <w:pPr>
        <w:pStyle w:val="ListParagraph"/>
        <w:numPr>
          <w:ilvl w:val="0"/>
          <w:numId w:val="25"/>
        </w:numPr>
        <w:spacing w:line="276" w:lineRule="auto"/>
        <w:ind w:left="426" w:hanging="426"/>
        <w:jc w:val="both"/>
        <w:rPr>
          <w:rFonts w:ascii="Arial" w:hAnsi="Arial" w:cs="Arial"/>
          <w:bCs/>
        </w:rPr>
      </w:pPr>
      <w:r w:rsidRPr="0057546C">
        <w:rPr>
          <w:rFonts w:ascii="Arial" w:hAnsi="Arial" w:cs="Arial"/>
          <w:bCs/>
        </w:rPr>
        <w:t xml:space="preserve">Eskom does not have specific functions that have been declared non-core. However, a general view of the business refers to the Generation, Transmission and Distribution businesses as core and critical, while functions such as Human Resources, Finance, Information Technology and similar functions as non-core. However, it has to be noted that even functions referred to as non-core are essential to the functioning of the business and will always be required by Eskom. Therefore the use of core and non-core business in classifying functions will mainly be referring to primary business operations and support functions respectively. The primary business operations </w:t>
      </w:r>
      <w:r w:rsidRPr="0057546C">
        <w:rPr>
          <w:rFonts w:ascii="Arial" w:hAnsi="Arial" w:cs="Arial"/>
          <w:bCs/>
        </w:rPr>
        <w:lastRenderedPageBreak/>
        <w:t xml:space="preserve">mainly refers functions such as the design, engineering, construction, operations and maintenance of plants and supply of electricity to end users. </w:t>
      </w:r>
    </w:p>
    <w:p w:rsidR="0057546C" w:rsidRPr="0057546C" w:rsidRDefault="0057546C" w:rsidP="0057546C">
      <w:pPr>
        <w:spacing w:line="276" w:lineRule="auto"/>
        <w:jc w:val="both"/>
        <w:rPr>
          <w:rFonts w:ascii="Arial" w:hAnsi="Arial" w:cs="Arial"/>
          <w:bCs/>
        </w:rPr>
      </w:pPr>
    </w:p>
    <w:p w:rsidR="0057546C" w:rsidRPr="0057546C" w:rsidRDefault="0057546C" w:rsidP="0057546C">
      <w:pPr>
        <w:pStyle w:val="ListParagraph"/>
        <w:numPr>
          <w:ilvl w:val="0"/>
          <w:numId w:val="25"/>
        </w:numPr>
        <w:spacing w:line="276" w:lineRule="auto"/>
        <w:ind w:left="426" w:hanging="426"/>
        <w:jc w:val="both"/>
        <w:rPr>
          <w:rFonts w:ascii="Arial" w:hAnsi="Arial" w:cs="Arial"/>
          <w:bCs/>
        </w:rPr>
      </w:pPr>
      <w:r w:rsidRPr="0057546C">
        <w:rPr>
          <w:rFonts w:ascii="Arial" w:hAnsi="Arial" w:cs="Arial"/>
          <w:bCs/>
        </w:rPr>
        <w:t xml:space="preserve">Based on the above definition of Eskom critical workforce segments, it is not possible to provide budget details. </w:t>
      </w:r>
    </w:p>
    <w:p w:rsidR="0057546C" w:rsidRDefault="0057546C">
      <w:pPr>
        <w:rPr>
          <w:rFonts w:ascii="Arial" w:hAnsi="Arial" w:cs="Arial"/>
          <w:bCs/>
        </w:rPr>
      </w:pPr>
      <w:r>
        <w:rPr>
          <w:rFonts w:ascii="Arial" w:hAnsi="Arial" w:cs="Arial"/>
          <w:bCs/>
        </w:rPr>
        <w:br w:type="page"/>
      </w:r>
    </w:p>
    <w:p w:rsidR="0057546C" w:rsidRPr="0057546C" w:rsidRDefault="0057546C" w:rsidP="0057546C">
      <w:pPr>
        <w:spacing w:line="276" w:lineRule="auto"/>
        <w:jc w:val="both"/>
        <w:rPr>
          <w:rFonts w:ascii="Arial" w:hAnsi="Arial" w:cs="Arial"/>
          <w:bCs/>
        </w:rPr>
      </w:pPr>
    </w:p>
    <w:p w:rsidR="0057546C" w:rsidRPr="0057546C" w:rsidRDefault="0057546C" w:rsidP="0057546C">
      <w:pPr>
        <w:pStyle w:val="ListParagraph"/>
        <w:numPr>
          <w:ilvl w:val="0"/>
          <w:numId w:val="25"/>
        </w:numPr>
        <w:spacing w:line="276" w:lineRule="auto"/>
        <w:ind w:left="426" w:hanging="426"/>
        <w:jc w:val="both"/>
        <w:rPr>
          <w:rFonts w:ascii="Arial" w:hAnsi="Arial" w:cs="Arial"/>
          <w:bCs/>
        </w:rPr>
      </w:pPr>
      <w:r w:rsidRPr="0057546C">
        <w:rPr>
          <w:rFonts w:ascii="Arial" w:hAnsi="Arial" w:cs="Arial"/>
          <w:bCs/>
        </w:rPr>
        <w:t xml:space="preserve">As explained above, the non-core functions are required by the business to support the operations. </w:t>
      </w:r>
    </w:p>
    <w:p w:rsidR="0057546C" w:rsidRDefault="0057546C" w:rsidP="0057546C">
      <w:pPr>
        <w:rPr>
          <w:rFonts w:ascii="Arial" w:hAnsi="Arial" w:cs="Arial"/>
          <w:sz w:val="22"/>
          <w:szCs w:val="22"/>
        </w:rPr>
      </w:pPr>
    </w:p>
    <w:p w:rsidR="0057546C" w:rsidRDefault="0057546C" w:rsidP="0057546C">
      <w:pPr>
        <w:rPr>
          <w:rFonts w:ascii="Arial" w:hAnsi="Arial" w:cs="Arial"/>
          <w:sz w:val="22"/>
          <w:szCs w:val="22"/>
        </w:rPr>
      </w:pPr>
    </w:p>
    <w:sectPr w:rsidR="0057546C" w:rsidSect="00767C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DE" w:rsidRDefault="006A43DE" w:rsidP="006A43DE">
      <w:r>
        <w:separator/>
      </w:r>
    </w:p>
  </w:endnote>
  <w:endnote w:type="continuationSeparator" w:id="0">
    <w:p w:rsidR="006A43DE" w:rsidRDefault="006A43DE"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DE" w:rsidRDefault="006A43DE" w:rsidP="006A43DE">
      <w:r>
        <w:separator/>
      </w:r>
    </w:p>
  </w:footnote>
  <w:footnote w:type="continuationSeparator" w:id="0">
    <w:p w:rsidR="006A43DE" w:rsidRDefault="006A43DE"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38C1C63"/>
    <w:multiLevelType w:val="hybridMultilevel"/>
    <w:tmpl w:val="24E4CAB8"/>
    <w:lvl w:ilvl="0" w:tplc="1F0EB292">
      <w:start w:val="1"/>
      <w:numFmt w:val="lowerRoman"/>
      <w:lvlText w:val="(%1)"/>
      <w:lvlJc w:val="left"/>
      <w:pPr>
        <w:ind w:left="1716" w:hanging="720"/>
      </w:pPr>
      <w:rPr>
        <w:rFonts w:ascii="Arial" w:hAnsi="Arial" w:cs="Arial" w:hint="default"/>
      </w:rPr>
    </w:lvl>
    <w:lvl w:ilvl="1" w:tplc="1C090019" w:tentative="1">
      <w:start w:val="1"/>
      <w:numFmt w:val="lowerLetter"/>
      <w:lvlText w:val="%2."/>
      <w:lvlJc w:val="left"/>
      <w:pPr>
        <w:ind w:left="2076" w:hanging="360"/>
      </w:pPr>
    </w:lvl>
    <w:lvl w:ilvl="2" w:tplc="1C09001B" w:tentative="1">
      <w:start w:val="1"/>
      <w:numFmt w:val="lowerRoman"/>
      <w:lvlText w:val="%3."/>
      <w:lvlJc w:val="right"/>
      <w:pPr>
        <w:ind w:left="2796" w:hanging="180"/>
      </w:pPr>
    </w:lvl>
    <w:lvl w:ilvl="3" w:tplc="1C09000F" w:tentative="1">
      <w:start w:val="1"/>
      <w:numFmt w:val="decimal"/>
      <w:lvlText w:val="%4."/>
      <w:lvlJc w:val="left"/>
      <w:pPr>
        <w:ind w:left="3516" w:hanging="360"/>
      </w:pPr>
    </w:lvl>
    <w:lvl w:ilvl="4" w:tplc="1C090019" w:tentative="1">
      <w:start w:val="1"/>
      <w:numFmt w:val="lowerLetter"/>
      <w:lvlText w:val="%5."/>
      <w:lvlJc w:val="left"/>
      <w:pPr>
        <w:ind w:left="4236" w:hanging="360"/>
      </w:pPr>
    </w:lvl>
    <w:lvl w:ilvl="5" w:tplc="1C09001B" w:tentative="1">
      <w:start w:val="1"/>
      <w:numFmt w:val="lowerRoman"/>
      <w:lvlText w:val="%6."/>
      <w:lvlJc w:val="right"/>
      <w:pPr>
        <w:ind w:left="4956" w:hanging="180"/>
      </w:pPr>
    </w:lvl>
    <w:lvl w:ilvl="6" w:tplc="1C09000F" w:tentative="1">
      <w:start w:val="1"/>
      <w:numFmt w:val="decimal"/>
      <w:lvlText w:val="%7."/>
      <w:lvlJc w:val="left"/>
      <w:pPr>
        <w:ind w:left="5676" w:hanging="360"/>
      </w:pPr>
    </w:lvl>
    <w:lvl w:ilvl="7" w:tplc="1C090019" w:tentative="1">
      <w:start w:val="1"/>
      <w:numFmt w:val="lowerLetter"/>
      <w:lvlText w:val="%8."/>
      <w:lvlJc w:val="left"/>
      <w:pPr>
        <w:ind w:left="6396" w:hanging="360"/>
      </w:pPr>
    </w:lvl>
    <w:lvl w:ilvl="8" w:tplc="1C09001B" w:tentative="1">
      <w:start w:val="1"/>
      <w:numFmt w:val="lowerRoman"/>
      <w:lvlText w:val="%9."/>
      <w:lvlJc w:val="right"/>
      <w:pPr>
        <w:ind w:left="7116" w:hanging="180"/>
      </w:pPr>
    </w:lvl>
  </w:abstractNum>
  <w:abstractNum w:abstractNumId="6"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7"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62751E3"/>
    <w:multiLevelType w:val="hybridMultilevel"/>
    <w:tmpl w:val="B7CA6A96"/>
    <w:lvl w:ilvl="0" w:tplc="35067E7C">
      <w:start w:val="1"/>
      <w:numFmt w:val="decimal"/>
      <w:lvlText w:val="(%1)"/>
      <w:lvlJc w:val="left"/>
      <w:pPr>
        <w:ind w:left="360" w:hanging="360"/>
      </w:pPr>
      <w:rPr>
        <w:rFonts w:hint="default"/>
        <w:b w:val="0"/>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087182"/>
    <w:multiLevelType w:val="hybridMultilevel"/>
    <w:tmpl w:val="B9103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5" w15:restartNumberingAfterBreak="0">
    <w:nsid w:val="4B0C6024"/>
    <w:multiLevelType w:val="hybridMultilevel"/>
    <w:tmpl w:val="80B4E14A"/>
    <w:lvl w:ilvl="0" w:tplc="7018D1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6E73546"/>
    <w:multiLevelType w:val="multilevel"/>
    <w:tmpl w:val="34343EC0"/>
    <w:lvl w:ilvl="0">
      <w:start w:val="1"/>
      <w:numFmt w:val="decimal"/>
      <w:lvlText w:val="%1."/>
      <w:lvlJc w:val="left"/>
      <w:pPr>
        <w:ind w:left="432" w:hanging="432"/>
      </w:pPr>
      <w:rPr>
        <w:rFonts w:hint="default"/>
        <w:b w:val="0"/>
        <w:strike w:val="0"/>
        <w:sz w:val="22"/>
        <w:szCs w:val="22"/>
      </w:r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CBA6E6E"/>
    <w:multiLevelType w:val="hybridMultilevel"/>
    <w:tmpl w:val="70E440A2"/>
    <w:lvl w:ilvl="0" w:tplc="33F81D32">
      <w:start w:val="1"/>
      <w:numFmt w:val="lowerLetter"/>
      <w:lvlText w:val="(%1)"/>
      <w:lvlJc w:val="left"/>
      <w:pPr>
        <w:ind w:left="786" w:hanging="360"/>
      </w:pPr>
      <w:rPr>
        <w:rFonts w:ascii="Arial" w:hAnsi="Arial" w:cs="Arial"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1"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79CA19DE"/>
    <w:multiLevelType w:val="hybridMultilevel"/>
    <w:tmpl w:val="1BA6197E"/>
    <w:lvl w:ilvl="0" w:tplc="F31034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A915C6C"/>
    <w:multiLevelType w:val="hybridMultilevel"/>
    <w:tmpl w:val="56904322"/>
    <w:lvl w:ilvl="0" w:tplc="CDE41C3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6"/>
  </w:num>
  <w:num w:numId="4">
    <w:abstractNumId w:val="18"/>
  </w:num>
  <w:num w:numId="5">
    <w:abstractNumId w:val="12"/>
  </w:num>
  <w:num w:numId="6">
    <w:abstractNumId w:val="4"/>
  </w:num>
  <w:num w:numId="7">
    <w:abstractNumId w:val="2"/>
  </w:num>
  <w:num w:numId="8">
    <w:abstractNumId w:val="17"/>
  </w:num>
  <w:num w:numId="9">
    <w:abstractNumId w:val="13"/>
  </w:num>
  <w:num w:numId="10">
    <w:abstractNumId w:val="0"/>
  </w:num>
  <w:num w:numId="11">
    <w:abstractNumId w:val="21"/>
  </w:num>
  <w:num w:numId="12">
    <w:abstractNumId w:val="9"/>
  </w:num>
  <w:num w:numId="13">
    <w:abstractNumId w:val="25"/>
  </w:num>
  <w:num w:numId="14">
    <w:abstractNumId w:val="3"/>
  </w:num>
  <w:num w:numId="15">
    <w:abstractNumId w:val="10"/>
  </w:num>
  <w:num w:numId="16">
    <w:abstractNumId w:val="24"/>
  </w:num>
  <w:num w:numId="17">
    <w:abstractNumId w:val="7"/>
  </w:num>
  <w:num w:numId="18">
    <w:abstractNumId w:val="1"/>
  </w:num>
  <w:num w:numId="19">
    <w:abstractNumId w:val="11"/>
  </w:num>
  <w:num w:numId="20">
    <w:abstractNumId w:val="8"/>
  </w:num>
  <w:num w:numId="21">
    <w:abstractNumId w:val="23"/>
  </w:num>
  <w:num w:numId="22">
    <w:abstractNumId w:val="19"/>
  </w:num>
  <w:num w:numId="23">
    <w:abstractNumId w:val="5"/>
  </w:num>
  <w:num w:numId="24">
    <w:abstractNumId w:val="22"/>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15D9"/>
    <w:rsid w:val="00003B3F"/>
    <w:rsid w:val="00005888"/>
    <w:rsid w:val="000507E0"/>
    <w:rsid w:val="00052EFB"/>
    <w:rsid w:val="000568B9"/>
    <w:rsid w:val="000629C6"/>
    <w:rsid w:val="00074EBD"/>
    <w:rsid w:val="0008029D"/>
    <w:rsid w:val="000B6791"/>
    <w:rsid w:val="000B75A2"/>
    <w:rsid w:val="000C50AB"/>
    <w:rsid w:val="000F103F"/>
    <w:rsid w:val="000F6FB5"/>
    <w:rsid w:val="001204BE"/>
    <w:rsid w:val="00125D8E"/>
    <w:rsid w:val="00141EAA"/>
    <w:rsid w:val="00152E8D"/>
    <w:rsid w:val="00153347"/>
    <w:rsid w:val="00162952"/>
    <w:rsid w:val="00164073"/>
    <w:rsid w:val="00170AB9"/>
    <w:rsid w:val="00190B29"/>
    <w:rsid w:val="0019695B"/>
    <w:rsid w:val="001B13C2"/>
    <w:rsid w:val="001C647A"/>
    <w:rsid w:val="001D28C7"/>
    <w:rsid w:val="001D4235"/>
    <w:rsid w:val="001E09A9"/>
    <w:rsid w:val="001E1264"/>
    <w:rsid w:val="001E4974"/>
    <w:rsid w:val="00203FBE"/>
    <w:rsid w:val="00210533"/>
    <w:rsid w:val="00225771"/>
    <w:rsid w:val="00243068"/>
    <w:rsid w:val="00246DF8"/>
    <w:rsid w:val="00254818"/>
    <w:rsid w:val="0026770C"/>
    <w:rsid w:val="00271AFC"/>
    <w:rsid w:val="002C030C"/>
    <w:rsid w:val="002D411A"/>
    <w:rsid w:val="002E2DC3"/>
    <w:rsid w:val="002F1297"/>
    <w:rsid w:val="002F5F24"/>
    <w:rsid w:val="003042F7"/>
    <w:rsid w:val="00307B61"/>
    <w:rsid w:val="00307D62"/>
    <w:rsid w:val="0032758C"/>
    <w:rsid w:val="0033077B"/>
    <w:rsid w:val="00335000"/>
    <w:rsid w:val="003468A9"/>
    <w:rsid w:val="00374B91"/>
    <w:rsid w:val="00374F17"/>
    <w:rsid w:val="00375F95"/>
    <w:rsid w:val="003B1CEE"/>
    <w:rsid w:val="003C17CC"/>
    <w:rsid w:val="003F2BC4"/>
    <w:rsid w:val="003F44CF"/>
    <w:rsid w:val="00400928"/>
    <w:rsid w:val="00403B84"/>
    <w:rsid w:val="004048A9"/>
    <w:rsid w:val="00420395"/>
    <w:rsid w:val="00435FE3"/>
    <w:rsid w:val="00450239"/>
    <w:rsid w:val="00454415"/>
    <w:rsid w:val="0046053A"/>
    <w:rsid w:val="004653BA"/>
    <w:rsid w:val="0047791E"/>
    <w:rsid w:val="004A4357"/>
    <w:rsid w:val="004C6935"/>
    <w:rsid w:val="004E4E93"/>
    <w:rsid w:val="004F2841"/>
    <w:rsid w:val="004F5833"/>
    <w:rsid w:val="004F6D7D"/>
    <w:rsid w:val="00500074"/>
    <w:rsid w:val="00500581"/>
    <w:rsid w:val="00512022"/>
    <w:rsid w:val="005206AC"/>
    <w:rsid w:val="00521620"/>
    <w:rsid w:val="00534DDF"/>
    <w:rsid w:val="0054518F"/>
    <w:rsid w:val="005703CE"/>
    <w:rsid w:val="0057546C"/>
    <w:rsid w:val="005C2884"/>
    <w:rsid w:val="005C28EA"/>
    <w:rsid w:val="005D1885"/>
    <w:rsid w:val="005D4F0C"/>
    <w:rsid w:val="00606CE8"/>
    <w:rsid w:val="00612054"/>
    <w:rsid w:val="00612B6C"/>
    <w:rsid w:val="00614DA3"/>
    <w:rsid w:val="0062623E"/>
    <w:rsid w:val="00643CCA"/>
    <w:rsid w:val="00647844"/>
    <w:rsid w:val="0065694F"/>
    <w:rsid w:val="0066527A"/>
    <w:rsid w:val="00665425"/>
    <w:rsid w:val="006807DC"/>
    <w:rsid w:val="00681743"/>
    <w:rsid w:val="006A217C"/>
    <w:rsid w:val="006A43DE"/>
    <w:rsid w:val="006C181A"/>
    <w:rsid w:val="006C5A5E"/>
    <w:rsid w:val="006D650A"/>
    <w:rsid w:val="006E226F"/>
    <w:rsid w:val="006E263F"/>
    <w:rsid w:val="006E28F9"/>
    <w:rsid w:val="00716A5F"/>
    <w:rsid w:val="007410D8"/>
    <w:rsid w:val="00741768"/>
    <w:rsid w:val="00753188"/>
    <w:rsid w:val="00763854"/>
    <w:rsid w:val="00766B05"/>
    <w:rsid w:val="00767C12"/>
    <w:rsid w:val="00780828"/>
    <w:rsid w:val="007840BD"/>
    <w:rsid w:val="007A77D7"/>
    <w:rsid w:val="007B1C58"/>
    <w:rsid w:val="007B2942"/>
    <w:rsid w:val="007C48D9"/>
    <w:rsid w:val="007F50BB"/>
    <w:rsid w:val="00824E8E"/>
    <w:rsid w:val="00870903"/>
    <w:rsid w:val="00887188"/>
    <w:rsid w:val="00892DFB"/>
    <w:rsid w:val="008960B2"/>
    <w:rsid w:val="0089645F"/>
    <w:rsid w:val="008968F5"/>
    <w:rsid w:val="008A3C53"/>
    <w:rsid w:val="008C4B6D"/>
    <w:rsid w:val="008D3A03"/>
    <w:rsid w:val="008D6B81"/>
    <w:rsid w:val="008E1A9C"/>
    <w:rsid w:val="008F2BB1"/>
    <w:rsid w:val="0090365F"/>
    <w:rsid w:val="00905B7B"/>
    <w:rsid w:val="0091106A"/>
    <w:rsid w:val="00930D31"/>
    <w:rsid w:val="00942881"/>
    <w:rsid w:val="00952742"/>
    <w:rsid w:val="009561E6"/>
    <w:rsid w:val="00956AE9"/>
    <w:rsid w:val="00957EA0"/>
    <w:rsid w:val="00961B9E"/>
    <w:rsid w:val="009626F2"/>
    <w:rsid w:val="009A4141"/>
    <w:rsid w:val="009A53BF"/>
    <w:rsid w:val="009B4F7B"/>
    <w:rsid w:val="009B6439"/>
    <w:rsid w:val="009C4542"/>
    <w:rsid w:val="009D531B"/>
    <w:rsid w:val="009E6C64"/>
    <w:rsid w:val="009F3D1B"/>
    <w:rsid w:val="00A00E8D"/>
    <w:rsid w:val="00A164FA"/>
    <w:rsid w:val="00A207A4"/>
    <w:rsid w:val="00A21970"/>
    <w:rsid w:val="00A2660A"/>
    <w:rsid w:val="00A3548B"/>
    <w:rsid w:val="00A425A7"/>
    <w:rsid w:val="00A42DF5"/>
    <w:rsid w:val="00A45C08"/>
    <w:rsid w:val="00A77EA7"/>
    <w:rsid w:val="00A83BB5"/>
    <w:rsid w:val="00A9377A"/>
    <w:rsid w:val="00A96EFA"/>
    <w:rsid w:val="00AB620F"/>
    <w:rsid w:val="00AD433D"/>
    <w:rsid w:val="00AD7EC9"/>
    <w:rsid w:val="00AE07A0"/>
    <w:rsid w:val="00B15A06"/>
    <w:rsid w:val="00B34D01"/>
    <w:rsid w:val="00B424D7"/>
    <w:rsid w:val="00B43A3C"/>
    <w:rsid w:val="00B62FA4"/>
    <w:rsid w:val="00B65A23"/>
    <w:rsid w:val="00B66A10"/>
    <w:rsid w:val="00B764B6"/>
    <w:rsid w:val="00B81C28"/>
    <w:rsid w:val="00B81C99"/>
    <w:rsid w:val="00BA5C62"/>
    <w:rsid w:val="00BA60D2"/>
    <w:rsid w:val="00BA7FA4"/>
    <w:rsid w:val="00BB2CDD"/>
    <w:rsid w:val="00BB480D"/>
    <w:rsid w:val="00BC24E0"/>
    <w:rsid w:val="00BC5A87"/>
    <w:rsid w:val="00BC60BD"/>
    <w:rsid w:val="00BD0503"/>
    <w:rsid w:val="00BD2714"/>
    <w:rsid w:val="00C037D2"/>
    <w:rsid w:val="00C11460"/>
    <w:rsid w:val="00C22324"/>
    <w:rsid w:val="00C376CE"/>
    <w:rsid w:val="00C46606"/>
    <w:rsid w:val="00C53F6B"/>
    <w:rsid w:val="00C6140B"/>
    <w:rsid w:val="00C632AA"/>
    <w:rsid w:val="00C71A4E"/>
    <w:rsid w:val="00C76C58"/>
    <w:rsid w:val="00CB5194"/>
    <w:rsid w:val="00CB7B00"/>
    <w:rsid w:val="00CC2B32"/>
    <w:rsid w:val="00CC3A4E"/>
    <w:rsid w:val="00CC6424"/>
    <w:rsid w:val="00CE72A9"/>
    <w:rsid w:val="00CF1AE8"/>
    <w:rsid w:val="00CF2CE3"/>
    <w:rsid w:val="00D25359"/>
    <w:rsid w:val="00D31EBA"/>
    <w:rsid w:val="00D35463"/>
    <w:rsid w:val="00D53A9C"/>
    <w:rsid w:val="00D543BA"/>
    <w:rsid w:val="00D6168F"/>
    <w:rsid w:val="00D72C17"/>
    <w:rsid w:val="00D7334D"/>
    <w:rsid w:val="00D80F16"/>
    <w:rsid w:val="00DB1776"/>
    <w:rsid w:val="00DB6521"/>
    <w:rsid w:val="00DE52C7"/>
    <w:rsid w:val="00DF2645"/>
    <w:rsid w:val="00E0046A"/>
    <w:rsid w:val="00E06376"/>
    <w:rsid w:val="00E25C2E"/>
    <w:rsid w:val="00E36A15"/>
    <w:rsid w:val="00E4134B"/>
    <w:rsid w:val="00E45886"/>
    <w:rsid w:val="00E46280"/>
    <w:rsid w:val="00E46F4E"/>
    <w:rsid w:val="00E50625"/>
    <w:rsid w:val="00E51A0C"/>
    <w:rsid w:val="00E71093"/>
    <w:rsid w:val="00E72B1B"/>
    <w:rsid w:val="00E73ABB"/>
    <w:rsid w:val="00E82E1D"/>
    <w:rsid w:val="00E83FF9"/>
    <w:rsid w:val="00EA2229"/>
    <w:rsid w:val="00EB2717"/>
    <w:rsid w:val="00EE5757"/>
    <w:rsid w:val="00EF35EA"/>
    <w:rsid w:val="00F07423"/>
    <w:rsid w:val="00F10B44"/>
    <w:rsid w:val="00F31673"/>
    <w:rsid w:val="00F31D7B"/>
    <w:rsid w:val="00F34711"/>
    <w:rsid w:val="00F35763"/>
    <w:rsid w:val="00F40076"/>
    <w:rsid w:val="00F436D8"/>
    <w:rsid w:val="00F45181"/>
    <w:rsid w:val="00F62BDA"/>
    <w:rsid w:val="00F63886"/>
    <w:rsid w:val="00F651DA"/>
    <w:rsid w:val="00F77706"/>
    <w:rsid w:val="00F861E9"/>
    <w:rsid w:val="00F9159E"/>
    <w:rsid w:val="00FA1518"/>
    <w:rsid w:val="00FA2EA9"/>
    <w:rsid w:val="00FB525C"/>
    <w:rsid w:val="00FD4439"/>
    <w:rsid w:val="00FE4EDE"/>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643CCA"/>
    <w:rPr>
      <w:rFonts w:ascii="Tahoma" w:eastAsiaTheme="minorHAnsi" w:hAnsi="Tahoma" w:cstheme="minorBidi"/>
      <w:sz w:val="22"/>
      <w:szCs w:val="22"/>
      <w:lang w:val="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4747">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086465798">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486897641">
      <w:bodyDiv w:val="1"/>
      <w:marLeft w:val="0"/>
      <w:marRight w:val="0"/>
      <w:marTop w:val="0"/>
      <w:marBottom w:val="0"/>
      <w:divBdr>
        <w:top w:val="none" w:sz="0" w:space="0" w:color="auto"/>
        <w:left w:val="none" w:sz="0" w:space="0" w:color="auto"/>
        <w:bottom w:val="none" w:sz="0" w:space="0" w:color="auto"/>
        <w:right w:val="none" w:sz="0" w:space="0" w:color="auto"/>
      </w:divBdr>
    </w:div>
    <w:div w:id="158599179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778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3A89-E828-40F4-873F-C46FDAC5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1564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Lebohang Tekane</cp:lastModifiedBy>
  <cp:revision>2</cp:revision>
  <cp:lastPrinted>2019-11-11T14:21:00Z</cp:lastPrinted>
  <dcterms:created xsi:type="dcterms:W3CDTF">2019-11-28T10:52:00Z</dcterms:created>
  <dcterms:modified xsi:type="dcterms:W3CDTF">2019-11-28T10:52:00Z</dcterms:modified>
</cp:coreProperties>
</file>