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22" w:rsidRPr="004E2315" w:rsidRDefault="00F20222" w:rsidP="004E2315">
      <w:pPr>
        <w:pStyle w:val="BodyText"/>
        <w:ind w:left="4113"/>
        <w:rPr>
          <w:sz w:val="20"/>
          <w:szCs w:val="20"/>
        </w:rPr>
      </w:pPr>
    </w:p>
    <w:p w:rsidR="00F20222" w:rsidRPr="004E2315" w:rsidRDefault="004E2315" w:rsidP="004E2315">
      <w:pPr>
        <w:ind w:left="257" w:right="366"/>
        <w:jc w:val="center"/>
        <w:rPr>
          <w:b/>
          <w:sz w:val="20"/>
          <w:szCs w:val="20"/>
        </w:rPr>
      </w:pPr>
      <w:r w:rsidRPr="004E2315">
        <w:rPr>
          <w:b/>
          <w:sz w:val="20"/>
          <w:szCs w:val="20"/>
        </w:rPr>
        <w:t>MINISTER</w:t>
      </w:r>
    </w:p>
    <w:p w:rsidR="00F20222" w:rsidRPr="004E2315" w:rsidRDefault="004E2315" w:rsidP="004E2315">
      <w:pPr>
        <w:ind w:left="233" w:right="366"/>
        <w:jc w:val="center"/>
        <w:rPr>
          <w:b/>
          <w:sz w:val="20"/>
          <w:szCs w:val="20"/>
        </w:rPr>
      </w:pPr>
      <w:r w:rsidRPr="004E2315">
        <w:rPr>
          <w:b/>
          <w:sz w:val="20"/>
          <w:szCs w:val="20"/>
        </w:rPr>
        <w:t>INTERNATIONAL RELATIONS AND COOPERATION</w:t>
      </w:r>
    </w:p>
    <w:p w:rsidR="00F20222" w:rsidRPr="004E2315" w:rsidRDefault="004E2315" w:rsidP="004E2315">
      <w:pPr>
        <w:ind w:left="238" w:right="366"/>
        <w:jc w:val="center"/>
        <w:rPr>
          <w:sz w:val="20"/>
          <w:szCs w:val="20"/>
        </w:rPr>
      </w:pPr>
      <w:r w:rsidRPr="004E2315">
        <w:rPr>
          <w:sz w:val="20"/>
          <w:szCs w:val="20"/>
        </w:rPr>
        <w:t>REPUBLIC OF SOUTH AFRICA</w:t>
      </w:r>
    </w:p>
    <w:p w:rsidR="00F20222" w:rsidRPr="004E2315" w:rsidRDefault="00F20222" w:rsidP="004E2315">
      <w:pPr>
        <w:pStyle w:val="BodyText"/>
        <w:rPr>
          <w:sz w:val="20"/>
          <w:szCs w:val="20"/>
        </w:rPr>
      </w:pPr>
    </w:p>
    <w:p w:rsidR="00F20222" w:rsidRPr="004E2315" w:rsidRDefault="004E2315" w:rsidP="004E2315">
      <w:pPr>
        <w:ind w:left="272" w:right="366"/>
        <w:jc w:val="center"/>
        <w:rPr>
          <w:sz w:val="20"/>
          <w:szCs w:val="20"/>
        </w:rPr>
      </w:pPr>
      <w:r w:rsidRPr="004E2315">
        <w:rPr>
          <w:position w:val="4"/>
          <w:sz w:val="20"/>
          <w:szCs w:val="20"/>
        </w:rPr>
        <w:t xml:space="preserve">Private Bag X152, PRETORIA, 0001, South </w:t>
      </w:r>
      <w:r w:rsidRPr="004E2315">
        <w:rPr>
          <w:sz w:val="20"/>
          <w:szCs w:val="20"/>
        </w:rPr>
        <w:t xml:space="preserve">Africa • OR Tambo Bldg, 460 </w:t>
      </w:r>
      <w:proofErr w:type="spellStart"/>
      <w:r w:rsidRPr="004E2315">
        <w:rPr>
          <w:sz w:val="20"/>
          <w:szCs w:val="20"/>
        </w:rPr>
        <w:t>Soutpansberg</w:t>
      </w:r>
      <w:proofErr w:type="spellEnd"/>
      <w:r w:rsidRPr="004E2315">
        <w:rPr>
          <w:sz w:val="20"/>
          <w:szCs w:val="20"/>
        </w:rPr>
        <w:t xml:space="preserve"> Road, </w:t>
      </w:r>
      <w:proofErr w:type="spellStart"/>
      <w:r w:rsidRPr="004E2315">
        <w:rPr>
          <w:sz w:val="20"/>
          <w:szCs w:val="20"/>
        </w:rPr>
        <w:t>Rietondale</w:t>
      </w:r>
      <w:proofErr w:type="spellEnd"/>
      <w:r w:rsidRPr="004E2315">
        <w:rPr>
          <w:sz w:val="20"/>
          <w:szCs w:val="20"/>
        </w:rPr>
        <w:t xml:space="preserve">, PRETORIA • Tel: </w:t>
      </w:r>
      <w:r w:rsidRPr="004E2315">
        <w:rPr>
          <w:position w:val="-3"/>
          <w:sz w:val="20"/>
          <w:szCs w:val="20"/>
        </w:rPr>
        <w:t>(012) 351 1000 • Fax: (012) 329 1000</w:t>
      </w:r>
    </w:p>
    <w:p w:rsidR="00F20222" w:rsidRPr="004E2315" w:rsidRDefault="004E2315" w:rsidP="004E2315">
      <w:pPr>
        <w:ind w:left="260" w:right="366"/>
        <w:jc w:val="center"/>
        <w:rPr>
          <w:sz w:val="20"/>
          <w:szCs w:val="20"/>
        </w:rPr>
      </w:pPr>
      <w:r w:rsidRPr="004E2315">
        <w:rPr>
          <w:position w:val="4"/>
          <w:sz w:val="20"/>
          <w:szCs w:val="20"/>
        </w:rPr>
        <w:t xml:space="preserve">17th Floor, Room </w:t>
      </w:r>
      <w:r w:rsidRPr="004E2315">
        <w:rPr>
          <w:position w:val="3"/>
          <w:sz w:val="20"/>
          <w:szCs w:val="20"/>
        </w:rPr>
        <w:t xml:space="preserve">1703, </w:t>
      </w:r>
      <w:r w:rsidRPr="004E2315">
        <w:rPr>
          <w:sz w:val="20"/>
          <w:szCs w:val="20"/>
        </w:rPr>
        <w:t xml:space="preserve">120 </w:t>
      </w:r>
      <w:proofErr w:type="spellStart"/>
      <w:r w:rsidRPr="004E2315">
        <w:rPr>
          <w:sz w:val="20"/>
          <w:szCs w:val="20"/>
        </w:rPr>
        <w:t>Plein</w:t>
      </w:r>
      <w:proofErr w:type="spellEnd"/>
      <w:r w:rsidRPr="004E2315">
        <w:rPr>
          <w:sz w:val="20"/>
          <w:szCs w:val="20"/>
        </w:rPr>
        <w:t xml:space="preserve"> Street, CAPE TOWN, B001 • Tel: (021) 464 3700 - Fax: (021) 485 6548 </w:t>
      </w:r>
      <w:r w:rsidRPr="004E2315">
        <w:rPr>
          <w:position w:val="-2"/>
          <w:sz w:val="20"/>
          <w:szCs w:val="20"/>
        </w:rPr>
        <w:t xml:space="preserve">• </w:t>
      </w:r>
      <w:hyperlink r:id="rId4">
        <w:r w:rsidRPr="004E2315">
          <w:rPr>
            <w:position w:val="-2"/>
            <w:sz w:val="20"/>
            <w:szCs w:val="20"/>
          </w:rPr>
          <w:t>www.dirco.gov.za</w:t>
        </w:r>
      </w:hyperlink>
    </w:p>
    <w:p w:rsidR="00F20222" w:rsidRPr="004E2315" w:rsidRDefault="004E2315" w:rsidP="004E2315">
      <w:pPr>
        <w:pStyle w:val="Heading1"/>
        <w:ind w:right="285"/>
        <w:jc w:val="center"/>
        <w:rPr>
          <w:sz w:val="20"/>
          <w:szCs w:val="20"/>
        </w:rPr>
      </w:pPr>
      <w:r w:rsidRPr="004E2315">
        <w:rPr>
          <w:sz w:val="20"/>
          <w:szCs w:val="20"/>
        </w:rPr>
        <w:t>QUESTION FOR WRITTEN REPLY: NATIONAL ASSEMBLY (NA)</w:t>
      </w:r>
    </w:p>
    <w:p w:rsidR="00F20222" w:rsidRPr="004E2315" w:rsidRDefault="004E2315" w:rsidP="004E2315">
      <w:pPr>
        <w:ind w:left="272" w:right="297"/>
        <w:jc w:val="center"/>
        <w:rPr>
          <w:b/>
          <w:sz w:val="20"/>
          <w:szCs w:val="20"/>
        </w:rPr>
      </w:pPr>
      <w:r w:rsidRPr="004E2315">
        <w:rPr>
          <w:b/>
          <w:sz w:val="20"/>
          <w:szCs w:val="20"/>
        </w:rPr>
        <w:t xml:space="preserve">Date of </w:t>
      </w:r>
      <w:proofErr w:type="gramStart"/>
      <w:r w:rsidRPr="004E2315">
        <w:rPr>
          <w:b/>
          <w:sz w:val="20"/>
          <w:szCs w:val="20"/>
        </w:rPr>
        <w:t xml:space="preserve">Publication </w:t>
      </w:r>
      <w:r w:rsidRPr="004E2315">
        <w:rPr>
          <w:sz w:val="20"/>
          <w:szCs w:val="20"/>
        </w:rPr>
        <w:t>:</w:t>
      </w:r>
      <w:proofErr w:type="gramEnd"/>
      <w:r w:rsidRPr="004E2315">
        <w:rPr>
          <w:sz w:val="20"/>
          <w:szCs w:val="20"/>
        </w:rPr>
        <w:t xml:space="preserve"> </w:t>
      </w:r>
      <w:r w:rsidRPr="004E2315">
        <w:rPr>
          <w:b/>
          <w:sz w:val="20"/>
          <w:szCs w:val="20"/>
        </w:rPr>
        <w:t>03 July 2020</w:t>
      </w:r>
    </w:p>
    <w:p w:rsidR="00F20222" w:rsidRPr="004E2315" w:rsidRDefault="00F20222" w:rsidP="004E2315">
      <w:pPr>
        <w:pStyle w:val="BodyText"/>
        <w:rPr>
          <w:sz w:val="20"/>
          <w:szCs w:val="20"/>
        </w:rPr>
      </w:pPr>
    </w:p>
    <w:p w:rsidR="00F20222" w:rsidRPr="004E2315" w:rsidRDefault="004E2315" w:rsidP="004E2315">
      <w:pPr>
        <w:pStyle w:val="Heading1"/>
        <w:ind w:left="951" w:firstLine="4"/>
        <w:rPr>
          <w:sz w:val="20"/>
          <w:szCs w:val="20"/>
        </w:rPr>
      </w:pPr>
      <w:r w:rsidRPr="004E2315">
        <w:rPr>
          <w:sz w:val="20"/>
          <w:szCs w:val="20"/>
        </w:rPr>
        <w:t>1408</w:t>
      </w:r>
      <w:proofErr w:type="gramStart"/>
      <w:r w:rsidRPr="004E2315">
        <w:rPr>
          <w:sz w:val="20"/>
          <w:szCs w:val="20"/>
        </w:rPr>
        <w:t>.Mr</w:t>
      </w:r>
      <w:proofErr w:type="gramEnd"/>
      <w:r w:rsidRPr="004E2315">
        <w:rPr>
          <w:sz w:val="20"/>
          <w:szCs w:val="20"/>
        </w:rPr>
        <w:t xml:space="preserve"> </w:t>
      </w:r>
      <w:r w:rsidRPr="004E2315">
        <w:rPr>
          <w:sz w:val="20"/>
          <w:szCs w:val="20"/>
        </w:rPr>
        <w:t>D</w:t>
      </w:r>
      <w:r w:rsidRPr="004E2315">
        <w:rPr>
          <w:b w:val="0"/>
          <w:sz w:val="20"/>
          <w:szCs w:val="20"/>
        </w:rPr>
        <w:t xml:space="preserve"> </w:t>
      </w:r>
      <w:r w:rsidRPr="004E2315">
        <w:rPr>
          <w:sz w:val="20"/>
          <w:szCs w:val="20"/>
        </w:rPr>
        <w:t xml:space="preserve">Bergman (DA) to ask </w:t>
      </w:r>
      <w:r w:rsidRPr="004E2315">
        <w:rPr>
          <w:sz w:val="20"/>
          <w:szCs w:val="20"/>
        </w:rPr>
        <w:t>the Minister of International Relations and Cooperation:</w:t>
      </w:r>
    </w:p>
    <w:p w:rsidR="00F20222" w:rsidRPr="004E2315" w:rsidRDefault="00F20222" w:rsidP="004E2315">
      <w:pPr>
        <w:pStyle w:val="BodyText"/>
        <w:rPr>
          <w:b/>
          <w:sz w:val="20"/>
          <w:szCs w:val="20"/>
        </w:rPr>
      </w:pPr>
    </w:p>
    <w:p w:rsidR="00F20222" w:rsidRPr="004E2315" w:rsidRDefault="00F20222" w:rsidP="004E2315">
      <w:pPr>
        <w:pStyle w:val="BodyText"/>
        <w:rPr>
          <w:b/>
          <w:sz w:val="20"/>
          <w:szCs w:val="20"/>
        </w:rPr>
      </w:pPr>
    </w:p>
    <w:p w:rsidR="00F20222" w:rsidRPr="004E2315" w:rsidRDefault="004E2315" w:rsidP="004E2315">
      <w:pPr>
        <w:pStyle w:val="BodyText"/>
        <w:ind w:left="819" w:right="133" w:firstLine="7"/>
        <w:rPr>
          <w:sz w:val="20"/>
          <w:szCs w:val="20"/>
        </w:rPr>
      </w:pPr>
      <w:r w:rsidRPr="004E2315">
        <w:rPr>
          <w:sz w:val="20"/>
          <w:szCs w:val="20"/>
        </w:rPr>
        <w:t>Whether she has been informed about the report of an independent specialist group hired by the former Minister to investigate maladministration in her department in the previous term; if not, what is the position in this regard; if so, what were the key (a</w:t>
      </w:r>
      <w:r w:rsidRPr="004E2315">
        <w:rPr>
          <w:sz w:val="20"/>
          <w:szCs w:val="20"/>
        </w:rPr>
        <w:t>) findings and (b) recommendations in the specified report? NW1779E</w:t>
      </w:r>
    </w:p>
    <w:p w:rsidR="00F20222" w:rsidRPr="004E2315" w:rsidRDefault="00F20222" w:rsidP="004E2315">
      <w:pPr>
        <w:pStyle w:val="BodyText"/>
        <w:rPr>
          <w:sz w:val="20"/>
          <w:szCs w:val="20"/>
        </w:rPr>
      </w:pPr>
    </w:p>
    <w:p w:rsidR="00F20222" w:rsidRPr="004E2315" w:rsidRDefault="00F20222" w:rsidP="004E2315">
      <w:pPr>
        <w:pStyle w:val="BodyText"/>
        <w:rPr>
          <w:sz w:val="20"/>
          <w:szCs w:val="20"/>
        </w:rPr>
      </w:pPr>
    </w:p>
    <w:p w:rsidR="00F20222" w:rsidRPr="004E2315" w:rsidRDefault="00F20222" w:rsidP="004E2315">
      <w:pPr>
        <w:pStyle w:val="BodyText"/>
        <w:rPr>
          <w:sz w:val="20"/>
          <w:szCs w:val="20"/>
        </w:rPr>
      </w:pPr>
    </w:p>
    <w:p w:rsidR="00F20222" w:rsidRPr="004E2315" w:rsidRDefault="004E2315" w:rsidP="004E2315">
      <w:pPr>
        <w:pStyle w:val="BodyText"/>
        <w:ind w:left="101"/>
        <w:rPr>
          <w:sz w:val="20"/>
          <w:szCs w:val="20"/>
        </w:rPr>
      </w:pPr>
      <w:r w:rsidRPr="004E2315">
        <w:rPr>
          <w:w w:val="105"/>
          <w:sz w:val="20"/>
          <w:szCs w:val="20"/>
        </w:rPr>
        <w:t>Reply:</w:t>
      </w:r>
    </w:p>
    <w:p w:rsidR="00F20222" w:rsidRPr="004E2315" w:rsidRDefault="00F20222" w:rsidP="004E2315">
      <w:pPr>
        <w:pStyle w:val="BodyText"/>
        <w:rPr>
          <w:sz w:val="20"/>
          <w:szCs w:val="20"/>
        </w:rPr>
      </w:pPr>
    </w:p>
    <w:p w:rsidR="00F20222" w:rsidRPr="004E2315" w:rsidRDefault="004E2315" w:rsidP="004E2315">
      <w:pPr>
        <w:pStyle w:val="BodyText"/>
        <w:ind w:left="810" w:right="203" w:hanging="354"/>
        <w:jc w:val="both"/>
        <w:rPr>
          <w:sz w:val="20"/>
          <w:szCs w:val="20"/>
        </w:rPr>
      </w:pPr>
      <w:r w:rsidRPr="004E2315">
        <w:rPr>
          <w:position w:val="-4"/>
          <w:sz w:val="20"/>
          <w:szCs w:val="20"/>
        </w:rPr>
        <w:t xml:space="preserve">( ) </w:t>
      </w:r>
      <w:r w:rsidRPr="004E2315">
        <w:rPr>
          <w:sz w:val="20"/>
          <w:szCs w:val="20"/>
        </w:rPr>
        <w:t xml:space="preserve">Former Minister L. </w:t>
      </w:r>
      <w:proofErr w:type="spellStart"/>
      <w:r w:rsidRPr="004E2315">
        <w:rPr>
          <w:sz w:val="20"/>
          <w:szCs w:val="20"/>
        </w:rPr>
        <w:t>Sisulu</w:t>
      </w:r>
      <w:proofErr w:type="spellEnd"/>
      <w:r w:rsidRPr="004E2315">
        <w:rPr>
          <w:sz w:val="20"/>
          <w:szCs w:val="20"/>
        </w:rPr>
        <w:t xml:space="preserve"> commissioned two reports by Independent entities. One</w:t>
      </w:r>
      <w:r w:rsidRPr="004E2315">
        <w:rPr>
          <w:spacing w:val="-22"/>
          <w:sz w:val="20"/>
          <w:szCs w:val="20"/>
        </w:rPr>
        <w:t xml:space="preserve"> </w:t>
      </w:r>
      <w:r w:rsidRPr="004E2315">
        <w:rPr>
          <w:sz w:val="20"/>
          <w:szCs w:val="20"/>
        </w:rPr>
        <w:t>report</w:t>
      </w:r>
      <w:r w:rsidRPr="004E2315">
        <w:rPr>
          <w:spacing w:val="-18"/>
          <w:sz w:val="20"/>
          <w:szCs w:val="20"/>
        </w:rPr>
        <w:t xml:space="preserve"> </w:t>
      </w:r>
      <w:r w:rsidRPr="004E2315">
        <w:rPr>
          <w:sz w:val="20"/>
          <w:szCs w:val="20"/>
        </w:rPr>
        <w:t>looked</w:t>
      </w:r>
      <w:r w:rsidRPr="004E2315">
        <w:rPr>
          <w:spacing w:val="-14"/>
          <w:sz w:val="20"/>
          <w:szCs w:val="20"/>
        </w:rPr>
        <w:t xml:space="preserve"> </w:t>
      </w:r>
      <w:r w:rsidRPr="004E2315">
        <w:rPr>
          <w:sz w:val="20"/>
          <w:szCs w:val="20"/>
        </w:rPr>
        <w:t>at</w:t>
      </w:r>
      <w:r w:rsidRPr="004E2315">
        <w:rPr>
          <w:spacing w:val="-29"/>
          <w:sz w:val="20"/>
          <w:szCs w:val="20"/>
        </w:rPr>
        <w:t xml:space="preserve"> </w:t>
      </w:r>
      <w:r w:rsidRPr="004E2315">
        <w:rPr>
          <w:sz w:val="20"/>
          <w:szCs w:val="20"/>
        </w:rPr>
        <w:t>matters</w:t>
      </w:r>
      <w:r w:rsidRPr="004E2315">
        <w:rPr>
          <w:spacing w:val="-15"/>
          <w:sz w:val="20"/>
          <w:szCs w:val="20"/>
        </w:rPr>
        <w:t xml:space="preserve"> </w:t>
      </w:r>
      <w:r w:rsidRPr="004E2315">
        <w:rPr>
          <w:sz w:val="20"/>
          <w:szCs w:val="20"/>
        </w:rPr>
        <w:t>relating</w:t>
      </w:r>
      <w:r w:rsidRPr="004E2315">
        <w:rPr>
          <w:spacing w:val="-16"/>
          <w:sz w:val="20"/>
          <w:szCs w:val="20"/>
        </w:rPr>
        <w:t xml:space="preserve"> </w:t>
      </w:r>
      <w:r w:rsidRPr="004E2315">
        <w:rPr>
          <w:sz w:val="20"/>
          <w:szCs w:val="20"/>
        </w:rPr>
        <w:t>to</w:t>
      </w:r>
      <w:r w:rsidRPr="004E2315">
        <w:rPr>
          <w:spacing w:val="-24"/>
          <w:sz w:val="20"/>
          <w:szCs w:val="20"/>
        </w:rPr>
        <w:t xml:space="preserve"> </w:t>
      </w:r>
      <w:r w:rsidRPr="004E2315">
        <w:rPr>
          <w:sz w:val="20"/>
          <w:szCs w:val="20"/>
        </w:rPr>
        <w:t>irregular</w:t>
      </w:r>
      <w:r w:rsidRPr="004E2315">
        <w:rPr>
          <w:spacing w:val="-17"/>
          <w:sz w:val="20"/>
          <w:szCs w:val="20"/>
        </w:rPr>
        <w:t xml:space="preserve"> </w:t>
      </w:r>
      <w:r w:rsidRPr="004E2315">
        <w:rPr>
          <w:sz w:val="20"/>
          <w:szCs w:val="20"/>
        </w:rPr>
        <w:t>expenditure</w:t>
      </w:r>
      <w:r w:rsidRPr="004E2315">
        <w:rPr>
          <w:spacing w:val="-12"/>
          <w:sz w:val="20"/>
          <w:szCs w:val="20"/>
        </w:rPr>
        <w:t xml:space="preserve"> </w:t>
      </w:r>
      <w:r w:rsidRPr="004E2315">
        <w:rPr>
          <w:sz w:val="20"/>
          <w:szCs w:val="20"/>
        </w:rPr>
        <w:t>in</w:t>
      </w:r>
      <w:r w:rsidRPr="004E2315">
        <w:rPr>
          <w:spacing w:val="-22"/>
          <w:sz w:val="20"/>
          <w:szCs w:val="20"/>
        </w:rPr>
        <w:t xml:space="preserve"> </w:t>
      </w:r>
      <w:r w:rsidRPr="004E2315">
        <w:rPr>
          <w:sz w:val="20"/>
          <w:szCs w:val="20"/>
        </w:rPr>
        <w:t>the</w:t>
      </w:r>
      <w:r w:rsidRPr="004E2315">
        <w:rPr>
          <w:spacing w:val="-17"/>
          <w:sz w:val="20"/>
          <w:szCs w:val="20"/>
        </w:rPr>
        <w:t xml:space="preserve"> </w:t>
      </w:r>
      <w:r w:rsidRPr="004E2315">
        <w:rPr>
          <w:sz w:val="20"/>
          <w:szCs w:val="20"/>
        </w:rPr>
        <w:t>Department.</w:t>
      </w:r>
    </w:p>
    <w:p w:rsidR="00F20222" w:rsidRPr="004E2315" w:rsidRDefault="004E2315" w:rsidP="004E2315">
      <w:pPr>
        <w:pStyle w:val="BodyText"/>
        <w:ind w:left="800" w:right="201" w:firstLine="10"/>
        <w:jc w:val="both"/>
        <w:rPr>
          <w:sz w:val="20"/>
          <w:szCs w:val="20"/>
        </w:rPr>
      </w:pPr>
      <w:r w:rsidRPr="004E2315">
        <w:rPr>
          <w:sz w:val="20"/>
          <w:szCs w:val="20"/>
        </w:rPr>
        <w:t>This report was</w:t>
      </w:r>
      <w:r w:rsidRPr="004E2315">
        <w:rPr>
          <w:sz w:val="20"/>
          <w:szCs w:val="20"/>
        </w:rPr>
        <w:t xml:space="preserve"> done by a company named Open Waters. A second report compiled by a panel led by former Justice Minister, B. </w:t>
      </w:r>
      <w:proofErr w:type="spellStart"/>
      <w:r w:rsidRPr="004E2315">
        <w:rPr>
          <w:sz w:val="20"/>
          <w:szCs w:val="20"/>
        </w:rPr>
        <w:t>Mabandla</w:t>
      </w:r>
      <w:proofErr w:type="spellEnd"/>
      <w:r w:rsidRPr="004E2315">
        <w:rPr>
          <w:sz w:val="20"/>
          <w:szCs w:val="20"/>
        </w:rPr>
        <w:t xml:space="preserve"> focused on matters related to </w:t>
      </w:r>
      <w:proofErr w:type="spellStart"/>
      <w:r w:rsidRPr="004E2315">
        <w:rPr>
          <w:sz w:val="20"/>
          <w:szCs w:val="20"/>
        </w:rPr>
        <w:t>organisational</w:t>
      </w:r>
      <w:proofErr w:type="spellEnd"/>
      <w:r w:rsidRPr="004E2315">
        <w:rPr>
          <w:sz w:val="20"/>
          <w:szCs w:val="20"/>
        </w:rPr>
        <w:t xml:space="preserve"> culture. This included looking at matters related to allegations of sexual harassment and all</w:t>
      </w:r>
      <w:r w:rsidRPr="004E2315">
        <w:rPr>
          <w:sz w:val="20"/>
          <w:szCs w:val="20"/>
        </w:rPr>
        <w:t>egations related to human resource management.</w:t>
      </w:r>
    </w:p>
    <w:p w:rsidR="00F20222" w:rsidRPr="004E2315" w:rsidRDefault="004E2315" w:rsidP="004E2315">
      <w:pPr>
        <w:pStyle w:val="BodyText"/>
        <w:ind w:left="771" w:right="217" w:hanging="336"/>
        <w:jc w:val="both"/>
        <w:rPr>
          <w:sz w:val="20"/>
          <w:szCs w:val="20"/>
        </w:rPr>
      </w:pPr>
      <w:r w:rsidRPr="004E2315">
        <w:rPr>
          <w:sz w:val="20"/>
          <w:szCs w:val="20"/>
        </w:rPr>
        <w:t xml:space="preserve">(b) The Open Waters report identified breaches in financial management but arrived at conclusions and recommendations that were not consistent with the findings. The second report made recommendations related </w:t>
      </w:r>
      <w:r w:rsidRPr="004E2315">
        <w:rPr>
          <w:sz w:val="20"/>
          <w:szCs w:val="20"/>
        </w:rPr>
        <w:t>to improving overall management and leadership in the Department. Based on the recommendations</w:t>
      </w:r>
      <w:r w:rsidRPr="004E2315">
        <w:rPr>
          <w:spacing w:val="-16"/>
          <w:sz w:val="20"/>
          <w:szCs w:val="20"/>
        </w:rPr>
        <w:t xml:space="preserve"> </w:t>
      </w:r>
      <w:r w:rsidRPr="004E2315">
        <w:rPr>
          <w:sz w:val="20"/>
          <w:szCs w:val="20"/>
        </w:rPr>
        <w:t>that</w:t>
      </w:r>
      <w:r w:rsidRPr="004E2315">
        <w:rPr>
          <w:spacing w:val="-15"/>
          <w:sz w:val="20"/>
          <w:szCs w:val="20"/>
        </w:rPr>
        <w:t xml:space="preserve"> </w:t>
      </w:r>
      <w:r w:rsidRPr="004E2315">
        <w:rPr>
          <w:sz w:val="20"/>
          <w:szCs w:val="20"/>
        </w:rPr>
        <w:t>were</w:t>
      </w:r>
      <w:r w:rsidRPr="004E2315">
        <w:rPr>
          <w:spacing w:val="-9"/>
          <w:sz w:val="20"/>
          <w:szCs w:val="20"/>
        </w:rPr>
        <w:t xml:space="preserve"> </w:t>
      </w:r>
      <w:r w:rsidRPr="004E2315">
        <w:rPr>
          <w:sz w:val="20"/>
          <w:szCs w:val="20"/>
        </w:rPr>
        <w:t>not</w:t>
      </w:r>
      <w:r w:rsidRPr="004E2315">
        <w:rPr>
          <w:spacing w:val="-10"/>
          <w:sz w:val="20"/>
          <w:szCs w:val="20"/>
        </w:rPr>
        <w:t xml:space="preserve"> </w:t>
      </w:r>
      <w:r w:rsidRPr="004E2315">
        <w:rPr>
          <w:sz w:val="20"/>
          <w:szCs w:val="20"/>
        </w:rPr>
        <w:t>aligned</w:t>
      </w:r>
      <w:r w:rsidRPr="004E2315">
        <w:rPr>
          <w:spacing w:val="-12"/>
          <w:sz w:val="20"/>
          <w:szCs w:val="20"/>
        </w:rPr>
        <w:t xml:space="preserve"> </w:t>
      </w:r>
      <w:r w:rsidRPr="004E2315">
        <w:rPr>
          <w:sz w:val="20"/>
          <w:szCs w:val="20"/>
        </w:rPr>
        <w:t>with</w:t>
      </w:r>
      <w:r w:rsidRPr="004E2315">
        <w:rPr>
          <w:spacing w:val="-8"/>
          <w:sz w:val="20"/>
          <w:szCs w:val="20"/>
        </w:rPr>
        <w:t xml:space="preserve"> </w:t>
      </w:r>
      <w:r w:rsidRPr="004E2315">
        <w:rPr>
          <w:sz w:val="20"/>
          <w:szCs w:val="20"/>
        </w:rPr>
        <w:t>the</w:t>
      </w:r>
      <w:r w:rsidRPr="004E2315">
        <w:rPr>
          <w:spacing w:val="-11"/>
          <w:sz w:val="20"/>
          <w:szCs w:val="20"/>
        </w:rPr>
        <w:t xml:space="preserve"> </w:t>
      </w:r>
      <w:r w:rsidRPr="004E2315">
        <w:rPr>
          <w:sz w:val="20"/>
          <w:szCs w:val="20"/>
        </w:rPr>
        <w:t>findings</w:t>
      </w:r>
      <w:r w:rsidRPr="004E2315">
        <w:rPr>
          <w:spacing w:val="-9"/>
          <w:sz w:val="20"/>
          <w:szCs w:val="20"/>
        </w:rPr>
        <w:t xml:space="preserve"> </w:t>
      </w:r>
      <w:r w:rsidRPr="004E2315">
        <w:rPr>
          <w:sz w:val="20"/>
          <w:szCs w:val="20"/>
        </w:rPr>
        <w:t>from</w:t>
      </w:r>
      <w:r w:rsidRPr="004E2315">
        <w:rPr>
          <w:spacing w:val="-13"/>
          <w:sz w:val="20"/>
          <w:szCs w:val="20"/>
        </w:rPr>
        <w:t xml:space="preserve"> </w:t>
      </w:r>
      <w:r w:rsidRPr="004E2315">
        <w:rPr>
          <w:sz w:val="20"/>
          <w:szCs w:val="20"/>
        </w:rPr>
        <w:t>the</w:t>
      </w:r>
      <w:r w:rsidRPr="004E2315">
        <w:rPr>
          <w:spacing w:val="-13"/>
          <w:sz w:val="20"/>
          <w:szCs w:val="20"/>
        </w:rPr>
        <w:t xml:space="preserve"> </w:t>
      </w:r>
      <w:r w:rsidRPr="004E2315">
        <w:rPr>
          <w:sz w:val="20"/>
          <w:szCs w:val="20"/>
        </w:rPr>
        <w:t>Open</w:t>
      </w:r>
      <w:r w:rsidRPr="004E2315">
        <w:rPr>
          <w:spacing w:val="-12"/>
          <w:sz w:val="20"/>
          <w:szCs w:val="20"/>
        </w:rPr>
        <w:t xml:space="preserve"> </w:t>
      </w:r>
      <w:r w:rsidRPr="004E2315">
        <w:rPr>
          <w:sz w:val="20"/>
          <w:szCs w:val="20"/>
        </w:rPr>
        <w:t>Waters Report, I will be appointing an external team to assess whether the findings in the report do not warrant further investigation, including a more thorough forensic investigation in some areas. The recommendations that will emanate from this report w</w:t>
      </w:r>
      <w:r w:rsidRPr="004E2315">
        <w:rPr>
          <w:sz w:val="20"/>
          <w:szCs w:val="20"/>
        </w:rPr>
        <w:t>ill allow me to complement measures related to improving leadership and management issues that emerged from the report compiled</w:t>
      </w:r>
      <w:r w:rsidRPr="004E2315">
        <w:rPr>
          <w:spacing w:val="45"/>
          <w:sz w:val="20"/>
          <w:szCs w:val="20"/>
        </w:rPr>
        <w:t xml:space="preserve"> </w:t>
      </w:r>
      <w:r w:rsidRPr="004E2315">
        <w:rPr>
          <w:sz w:val="20"/>
          <w:szCs w:val="20"/>
        </w:rPr>
        <w:t>by</w:t>
      </w:r>
    </w:p>
    <w:p w:rsidR="00F20222" w:rsidRPr="004E2315" w:rsidRDefault="00F20222" w:rsidP="004E2315">
      <w:pPr>
        <w:jc w:val="both"/>
        <w:rPr>
          <w:sz w:val="20"/>
          <w:szCs w:val="20"/>
        </w:rPr>
        <w:sectPr w:rsidR="00F20222" w:rsidRPr="004E2315">
          <w:type w:val="continuous"/>
          <w:pgSz w:w="11910" w:h="16840"/>
          <w:pgMar w:top="1060" w:right="1240" w:bottom="280" w:left="1320" w:header="720" w:footer="720" w:gutter="0"/>
          <w:cols w:space="720"/>
        </w:sectPr>
      </w:pPr>
    </w:p>
    <w:p w:rsidR="00F20222" w:rsidRPr="004E2315" w:rsidRDefault="004E2315" w:rsidP="004E2315">
      <w:pPr>
        <w:pStyle w:val="BodyText"/>
        <w:ind w:left="900" w:right="101" w:firstLine="16"/>
        <w:jc w:val="both"/>
        <w:rPr>
          <w:sz w:val="20"/>
          <w:szCs w:val="20"/>
        </w:rPr>
      </w:pPr>
      <w:proofErr w:type="gramStart"/>
      <w:r w:rsidRPr="004E2315">
        <w:rPr>
          <w:sz w:val="20"/>
          <w:szCs w:val="20"/>
        </w:rPr>
        <w:lastRenderedPageBreak/>
        <w:t>the</w:t>
      </w:r>
      <w:proofErr w:type="gramEnd"/>
      <w:r w:rsidRPr="004E2315">
        <w:rPr>
          <w:spacing w:val="-14"/>
          <w:sz w:val="20"/>
          <w:szCs w:val="20"/>
        </w:rPr>
        <w:t xml:space="preserve"> </w:t>
      </w:r>
      <w:r w:rsidRPr="004E2315">
        <w:rPr>
          <w:sz w:val="20"/>
          <w:szCs w:val="20"/>
        </w:rPr>
        <w:t>team</w:t>
      </w:r>
      <w:r w:rsidRPr="004E2315">
        <w:rPr>
          <w:spacing w:val="-13"/>
          <w:sz w:val="20"/>
          <w:szCs w:val="20"/>
        </w:rPr>
        <w:t xml:space="preserve"> </w:t>
      </w:r>
      <w:r w:rsidRPr="004E2315">
        <w:rPr>
          <w:sz w:val="20"/>
          <w:szCs w:val="20"/>
        </w:rPr>
        <w:t>led</w:t>
      </w:r>
      <w:r w:rsidRPr="004E2315">
        <w:rPr>
          <w:spacing w:val="-15"/>
          <w:sz w:val="20"/>
          <w:szCs w:val="20"/>
        </w:rPr>
        <w:t xml:space="preserve"> </w:t>
      </w:r>
      <w:r w:rsidRPr="004E2315">
        <w:rPr>
          <w:sz w:val="20"/>
          <w:szCs w:val="20"/>
        </w:rPr>
        <w:t>by</w:t>
      </w:r>
      <w:r w:rsidRPr="004E2315">
        <w:rPr>
          <w:spacing w:val="-20"/>
          <w:sz w:val="20"/>
          <w:szCs w:val="20"/>
        </w:rPr>
        <w:t xml:space="preserve"> </w:t>
      </w:r>
      <w:r w:rsidRPr="004E2315">
        <w:rPr>
          <w:sz w:val="20"/>
          <w:szCs w:val="20"/>
        </w:rPr>
        <w:t>Ms.</w:t>
      </w:r>
      <w:r w:rsidRPr="004E2315">
        <w:rPr>
          <w:spacing w:val="-17"/>
          <w:sz w:val="20"/>
          <w:szCs w:val="20"/>
        </w:rPr>
        <w:t xml:space="preserve"> </w:t>
      </w:r>
      <w:proofErr w:type="spellStart"/>
      <w:r w:rsidRPr="004E2315">
        <w:rPr>
          <w:sz w:val="20"/>
          <w:szCs w:val="20"/>
        </w:rPr>
        <w:t>Mabandla</w:t>
      </w:r>
      <w:proofErr w:type="spellEnd"/>
      <w:r w:rsidRPr="004E2315">
        <w:rPr>
          <w:sz w:val="20"/>
          <w:szCs w:val="20"/>
        </w:rPr>
        <w:t>.</w:t>
      </w:r>
      <w:r w:rsidRPr="004E2315">
        <w:rPr>
          <w:spacing w:val="33"/>
          <w:sz w:val="20"/>
          <w:szCs w:val="20"/>
        </w:rPr>
        <w:t xml:space="preserve"> </w:t>
      </w:r>
      <w:r w:rsidRPr="004E2315">
        <w:rPr>
          <w:sz w:val="20"/>
          <w:szCs w:val="20"/>
        </w:rPr>
        <w:t>This</w:t>
      </w:r>
      <w:r w:rsidRPr="004E2315">
        <w:rPr>
          <w:spacing w:val="-12"/>
          <w:sz w:val="20"/>
          <w:szCs w:val="20"/>
        </w:rPr>
        <w:t xml:space="preserve"> </w:t>
      </w:r>
      <w:r w:rsidRPr="004E2315">
        <w:rPr>
          <w:sz w:val="20"/>
          <w:szCs w:val="20"/>
        </w:rPr>
        <w:t>team</w:t>
      </w:r>
      <w:r w:rsidRPr="004E2315">
        <w:rPr>
          <w:spacing w:val="-12"/>
          <w:sz w:val="20"/>
          <w:szCs w:val="20"/>
        </w:rPr>
        <w:t xml:space="preserve"> </w:t>
      </w:r>
      <w:r w:rsidRPr="004E2315">
        <w:rPr>
          <w:sz w:val="20"/>
          <w:szCs w:val="20"/>
        </w:rPr>
        <w:t>will</w:t>
      </w:r>
      <w:r w:rsidRPr="004E2315">
        <w:rPr>
          <w:spacing w:val="-18"/>
          <w:sz w:val="20"/>
          <w:szCs w:val="20"/>
        </w:rPr>
        <w:t xml:space="preserve"> </w:t>
      </w:r>
      <w:r w:rsidRPr="004E2315">
        <w:rPr>
          <w:sz w:val="20"/>
          <w:szCs w:val="20"/>
        </w:rPr>
        <w:t>use</w:t>
      </w:r>
      <w:r w:rsidRPr="004E2315">
        <w:rPr>
          <w:spacing w:val="-18"/>
          <w:sz w:val="20"/>
          <w:szCs w:val="20"/>
        </w:rPr>
        <w:t xml:space="preserve"> </w:t>
      </w:r>
      <w:r w:rsidRPr="004E2315">
        <w:rPr>
          <w:sz w:val="20"/>
          <w:szCs w:val="20"/>
        </w:rPr>
        <w:t>the</w:t>
      </w:r>
      <w:r w:rsidRPr="004E2315">
        <w:rPr>
          <w:spacing w:val="-16"/>
          <w:sz w:val="20"/>
          <w:szCs w:val="20"/>
        </w:rPr>
        <w:t xml:space="preserve"> </w:t>
      </w:r>
      <w:r w:rsidRPr="004E2315">
        <w:rPr>
          <w:sz w:val="20"/>
          <w:szCs w:val="20"/>
        </w:rPr>
        <w:t>findings</w:t>
      </w:r>
      <w:r w:rsidRPr="004E2315">
        <w:rPr>
          <w:spacing w:val="-7"/>
          <w:sz w:val="20"/>
          <w:szCs w:val="20"/>
        </w:rPr>
        <w:t xml:space="preserve"> </w:t>
      </w:r>
      <w:r w:rsidRPr="004E2315">
        <w:rPr>
          <w:sz w:val="20"/>
          <w:szCs w:val="20"/>
        </w:rPr>
        <w:t>in</w:t>
      </w:r>
      <w:r w:rsidRPr="004E2315">
        <w:rPr>
          <w:spacing w:val="-19"/>
          <w:sz w:val="20"/>
          <w:szCs w:val="20"/>
        </w:rPr>
        <w:t xml:space="preserve"> </w:t>
      </w:r>
      <w:r w:rsidRPr="004E2315">
        <w:rPr>
          <w:sz w:val="20"/>
          <w:szCs w:val="20"/>
        </w:rPr>
        <w:t>the</w:t>
      </w:r>
      <w:r w:rsidRPr="004E2315">
        <w:rPr>
          <w:spacing w:val="-14"/>
          <w:sz w:val="20"/>
          <w:szCs w:val="20"/>
        </w:rPr>
        <w:t xml:space="preserve"> </w:t>
      </w:r>
      <w:r w:rsidRPr="004E2315">
        <w:rPr>
          <w:sz w:val="20"/>
          <w:szCs w:val="20"/>
        </w:rPr>
        <w:t>two</w:t>
      </w:r>
      <w:r w:rsidRPr="004E2315">
        <w:rPr>
          <w:spacing w:val="-13"/>
          <w:sz w:val="20"/>
          <w:szCs w:val="20"/>
        </w:rPr>
        <w:t xml:space="preserve"> </w:t>
      </w:r>
      <w:r w:rsidRPr="004E2315">
        <w:rPr>
          <w:sz w:val="20"/>
          <w:szCs w:val="20"/>
        </w:rPr>
        <w:t>reports mentioned above as the basis</w:t>
      </w:r>
      <w:r w:rsidRPr="004E2315">
        <w:rPr>
          <w:sz w:val="20"/>
          <w:szCs w:val="20"/>
        </w:rPr>
        <w:t xml:space="preserve"> for further investigation and recommendations. The</w:t>
      </w:r>
      <w:r w:rsidRPr="004E2315">
        <w:rPr>
          <w:spacing w:val="-8"/>
          <w:sz w:val="20"/>
          <w:szCs w:val="20"/>
        </w:rPr>
        <w:t xml:space="preserve"> </w:t>
      </w:r>
      <w:r w:rsidRPr="004E2315">
        <w:rPr>
          <w:sz w:val="20"/>
          <w:szCs w:val="20"/>
        </w:rPr>
        <w:t>findings</w:t>
      </w:r>
      <w:r w:rsidRPr="004E2315">
        <w:rPr>
          <w:spacing w:val="-4"/>
          <w:sz w:val="20"/>
          <w:szCs w:val="20"/>
        </w:rPr>
        <w:t xml:space="preserve"> </w:t>
      </w:r>
      <w:r w:rsidRPr="004E2315">
        <w:rPr>
          <w:sz w:val="20"/>
          <w:szCs w:val="20"/>
        </w:rPr>
        <w:t>in</w:t>
      </w:r>
      <w:r w:rsidRPr="004E2315">
        <w:rPr>
          <w:spacing w:val="-22"/>
          <w:sz w:val="20"/>
          <w:szCs w:val="20"/>
        </w:rPr>
        <w:t xml:space="preserve"> </w:t>
      </w:r>
      <w:r w:rsidRPr="004E2315">
        <w:rPr>
          <w:sz w:val="20"/>
          <w:szCs w:val="20"/>
        </w:rPr>
        <w:t>both</w:t>
      </w:r>
      <w:r w:rsidRPr="004E2315">
        <w:rPr>
          <w:spacing w:val="-7"/>
          <w:sz w:val="20"/>
          <w:szCs w:val="20"/>
        </w:rPr>
        <w:t xml:space="preserve"> </w:t>
      </w:r>
      <w:r w:rsidRPr="004E2315">
        <w:rPr>
          <w:sz w:val="20"/>
          <w:szCs w:val="20"/>
        </w:rPr>
        <w:t>reports</w:t>
      </w:r>
      <w:r w:rsidRPr="004E2315">
        <w:rPr>
          <w:spacing w:val="-1"/>
          <w:sz w:val="20"/>
          <w:szCs w:val="20"/>
        </w:rPr>
        <w:t xml:space="preserve"> </w:t>
      </w:r>
      <w:r w:rsidRPr="004E2315">
        <w:rPr>
          <w:sz w:val="20"/>
          <w:szCs w:val="20"/>
        </w:rPr>
        <w:t>will</w:t>
      </w:r>
      <w:r w:rsidRPr="004E2315">
        <w:rPr>
          <w:spacing w:val="-12"/>
          <w:sz w:val="20"/>
          <w:szCs w:val="20"/>
        </w:rPr>
        <w:t xml:space="preserve"> </w:t>
      </w:r>
      <w:r w:rsidRPr="004E2315">
        <w:rPr>
          <w:sz w:val="20"/>
          <w:szCs w:val="20"/>
        </w:rPr>
        <w:t>have</w:t>
      </w:r>
      <w:r w:rsidRPr="004E2315">
        <w:rPr>
          <w:spacing w:val="-8"/>
          <w:sz w:val="20"/>
          <w:szCs w:val="20"/>
        </w:rPr>
        <w:t xml:space="preserve"> </w:t>
      </w:r>
      <w:r w:rsidRPr="004E2315">
        <w:rPr>
          <w:sz w:val="20"/>
          <w:szCs w:val="20"/>
        </w:rPr>
        <w:t>to</w:t>
      </w:r>
      <w:r w:rsidRPr="004E2315">
        <w:rPr>
          <w:spacing w:val="-13"/>
          <w:sz w:val="20"/>
          <w:szCs w:val="20"/>
        </w:rPr>
        <w:t xml:space="preserve"> </w:t>
      </w:r>
      <w:r w:rsidRPr="004E2315">
        <w:rPr>
          <w:sz w:val="20"/>
          <w:szCs w:val="20"/>
        </w:rPr>
        <w:t>be</w:t>
      </w:r>
      <w:r w:rsidRPr="004E2315">
        <w:rPr>
          <w:spacing w:val="-13"/>
          <w:sz w:val="20"/>
          <w:szCs w:val="20"/>
        </w:rPr>
        <w:t xml:space="preserve"> </w:t>
      </w:r>
      <w:r w:rsidRPr="004E2315">
        <w:rPr>
          <w:sz w:val="20"/>
          <w:szCs w:val="20"/>
        </w:rPr>
        <w:t>treated</w:t>
      </w:r>
      <w:r w:rsidRPr="004E2315">
        <w:rPr>
          <w:spacing w:val="-7"/>
          <w:sz w:val="20"/>
          <w:szCs w:val="20"/>
        </w:rPr>
        <w:t xml:space="preserve"> </w:t>
      </w:r>
      <w:r w:rsidRPr="004E2315">
        <w:rPr>
          <w:sz w:val="20"/>
          <w:szCs w:val="20"/>
        </w:rPr>
        <w:t>as</w:t>
      </w:r>
      <w:r w:rsidRPr="004E2315">
        <w:rPr>
          <w:spacing w:val="-16"/>
          <w:sz w:val="20"/>
          <w:szCs w:val="20"/>
        </w:rPr>
        <w:t xml:space="preserve"> </w:t>
      </w:r>
      <w:r w:rsidRPr="004E2315">
        <w:rPr>
          <w:sz w:val="20"/>
          <w:szCs w:val="20"/>
        </w:rPr>
        <w:t>draft</w:t>
      </w:r>
      <w:r w:rsidRPr="004E2315">
        <w:rPr>
          <w:spacing w:val="-17"/>
          <w:sz w:val="20"/>
          <w:szCs w:val="20"/>
        </w:rPr>
        <w:t xml:space="preserve"> </w:t>
      </w:r>
      <w:r w:rsidRPr="004E2315">
        <w:rPr>
          <w:sz w:val="20"/>
          <w:szCs w:val="20"/>
        </w:rPr>
        <w:t>findings</w:t>
      </w:r>
      <w:r w:rsidRPr="004E2315">
        <w:rPr>
          <w:spacing w:val="2"/>
          <w:sz w:val="20"/>
          <w:szCs w:val="20"/>
        </w:rPr>
        <w:t xml:space="preserve"> </w:t>
      </w:r>
      <w:r w:rsidRPr="004E2315">
        <w:rPr>
          <w:sz w:val="20"/>
          <w:szCs w:val="20"/>
        </w:rPr>
        <w:t>at</w:t>
      </w:r>
      <w:r w:rsidRPr="004E2315">
        <w:rPr>
          <w:spacing w:val="-11"/>
          <w:sz w:val="20"/>
          <w:szCs w:val="20"/>
        </w:rPr>
        <w:t xml:space="preserve"> </w:t>
      </w:r>
      <w:r w:rsidRPr="004E2315">
        <w:rPr>
          <w:sz w:val="20"/>
          <w:szCs w:val="20"/>
        </w:rPr>
        <w:t>this</w:t>
      </w:r>
      <w:r w:rsidRPr="004E2315">
        <w:rPr>
          <w:spacing w:val="-9"/>
          <w:sz w:val="20"/>
          <w:szCs w:val="20"/>
        </w:rPr>
        <w:t xml:space="preserve"> </w:t>
      </w:r>
      <w:r w:rsidRPr="004E2315">
        <w:rPr>
          <w:sz w:val="20"/>
          <w:szCs w:val="20"/>
        </w:rPr>
        <w:t>stage given the need for further investigations. Given that these are draft finding, no action is proposed until the team that I will appoint completes the process initiated by my</w:t>
      </w:r>
      <w:r w:rsidRPr="004E2315">
        <w:rPr>
          <w:spacing w:val="15"/>
          <w:sz w:val="20"/>
          <w:szCs w:val="20"/>
        </w:rPr>
        <w:t xml:space="preserve"> </w:t>
      </w:r>
      <w:r w:rsidRPr="004E2315">
        <w:rPr>
          <w:sz w:val="20"/>
          <w:szCs w:val="20"/>
        </w:rPr>
        <w:t>predecessor.</w:t>
      </w:r>
    </w:p>
    <w:sectPr w:rsidR="00F20222" w:rsidRPr="004E2315" w:rsidSect="00F20222">
      <w:pgSz w:w="11910" w:h="16840"/>
      <w:pgMar w:top="1300" w:right="12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0222"/>
    <w:rsid w:val="004E2315"/>
    <w:rsid w:val="00F2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022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20222"/>
    <w:pPr>
      <w:ind w:left="272" w:right="1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022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20222"/>
  </w:style>
  <w:style w:type="paragraph" w:customStyle="1" w:styleId="TableParagraph">
    <w:name w:val="Table Paragraph"/>
    <w:basedOn w:val="Normal"/>
    <w:uiPriority w:val="1"/>
    <w:qFormat/>
    <w:rsid w:val="00F20222"/>
  </w:style>
  <w:style w:type="paragraph" w:styleId="BalloonText">
    <w:name w:val="Balloon Text"/>
    <w:basedOn w:val="Normal"/>
    <w:link w:val="BalloonTextChar"/>
    <w:uiPriority w:val="99"/>
    <w:semiHidden/>
    <w:unhideWhenUsed/>
    <w:rsid w:val="004E2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1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co.gov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2175</Characters>
  <Application>Microsoft Office Word</Application>
  <DocSecurity>0</DocSecurity>
  <Lines>18</Lines>
  <Paragraphs>5</Paragraphs>
  <ScaleCrop>false</ScaleCrop>
  <Company>Toshiba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Scan_Itec20070709260</dc:title>
  <dc:creator>PMG User</dc:creator>
  <cp:lastModifiedBy>PMG User</cp:lastModifiedBy>
  <cp:revision>2</cp:revision>
  <dcterms:created xsi:type="dcterms:W3CDTF">2020-07-07T16:23:00Z</dcterms:created>
  <dcterms:modified xsi:type="dcterms:W3CDTF">2020-07-07T16:23:00Z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KM_C250i</vt:lpwstr>
  </property>
  <property fmtid="{D5CDD505-2E9C-101B-9397-08002B2CF9AE}" pid="4" name="LastSaved">
    <vt:filetime>2020-07-07T00:00:00Z</vt:filetime>
  </property>
</Properties>
</file>