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A62681">
        <w:rPr>
          <w:rFonts w:ascii="Times New Roman" w:hAnsi="Times New Roman" w:cs="Times New Roman"/>
          <w:b/>
          <w:sz w:val="24"/>
          <w:szCs w:val="24"/>
        </w:rPr>
        <w:t xml:space="preserve"> 1399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C0819">
        <w:rPr>
          <w:rFonts w:ascii="Times New Roman" w:hAnsi="Times New Roman" w:cs="Times New Roman"/>
          <w:b/>
          <w:sz w:val="24"/>
          <w:szCs w:val="24"/>
          <w:u w:val="single"/>
        </w:rPr>
        <w:t>F INTERNAL QUESTION PAPER: 01/11</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4C081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23</w:t>
      </w:r>
      <w:r w:rsidR="00C06F25">
        <w:rPr>
          <w:rFonts w:ascii="Times New Roman" w:hAnsi="Times New Roman" w:cs="Times New Roman"/>
          <w:b/>
          <w:sz w:val="24"/>
          <w:szCs w:val="24"/>
          <w:u w:val="single"/>
        </w:rPr>
        <w:t>/2019</w:t>
      </w:r>
    </w:p>
    <w:p w:rsidR="00A62681" w:rsidRPr="00A62681" w:rsidRDefault="00A62681" w:rsidP="00A62681">
      <w:pPr>
        <w:spacing w:before="100" w:beforeAutospacing="1" w:after="100" w:afterAutospacing="1" w:line="240" w:lineRule="auto"/>
        <w:ind w:left="720" w:hanging="720"/>
        <w:jc w:val="both"/>
        <w:outlineLvl w:val="0"/>
        <w:rPr>
          <w:rFonts w:ascii="Times New Roman" w:eastAsia="Calibri" w:hAnsi="Times New Roman" w:cs="Times New Roman"/>
          <w:sz w:val="24"/>
          <w:szCs w:val="24"/>
        </w:rPr>
      </w:pPr>
      <w:r w:rsidRPr="00A62681">
        <w:rPr>
          <w:rFonts w:ascii="Times New Roman" w:eastAsia="Calibri" w:hAnsi="Times New Roman" w:cs="Times New Roman"/>
          <w:b/>
          <w:sz w:val="24"/>
          <w:szCs w:val="24"/>
        </w:rPr>
        <w:t>1399.</w:t>
      </w:r>
      <w:r w:rsidRPr="00A62681">
        <w:rPr>
          <w:rFonts w:ascii="Times New Roman" w:eastAsia="Calibri" w:hAnsi="Times New Roman" w:cs="Times New Roman"/>
          <w:b/>
          <w:sz w:val="24"/>
          <w:szCs w:val="24"/>
        </w:rPr>
        <w:tab/>
        <w:t>Mrs C V King (DA) to ask the Minister of Basic Education</w:t>
      </w:r>
      <w:r w:rsidRPr="00A62681">
        <w:rPr>
          <w:rFonts w:ascii="Times New Roman" w:eastAsia="Calibri" w:hAnsi="Times New Roman" w:cs="Times New Roman"/>
          <w:b/>
          <w:sz w:val="24"/>
          <w:szCs w:val="24"/>
        </w:rPr>
        <w:fldChar w:fldCharType="begin"/>
      </w:r>
      <w:r w:rsidRPr="00A62681">
        <w:rPr>
          <w:rFonts w:ascii="Calibri" w:eastAsia="Calibri" w:hAnsi="Calibri" w:cs="Times New Roman"/>
        </w:rPr>
        <w:instrText xml:space="preserve"> XE "</w:instrText>
      </w:r>
      <w:r w:rsidRPr="00A62681">
        <w:rPr>
          <w:rFonts w:ascii="Times New Roman" w:eastAsia="Times New Roman" w:hAnsi="Times New Roman" w:cs="Times New Roman"/>
          <w:b/>
          <w:sz w:val="24"/>
          <w:szCs w:val="24"/>
          <w:lang w:val="en-US"/>
        </w:rPr>
        <w:instrText>Basic Education</w:instrText>
      </w:r>
      <w:r w:rsidRPr="00A62681">
        <w:rPr>
          <w:rFonts w:ascii="Calibri" w:eastAsia="Calibri" w:hAnsi="Calibri" w:cs="Times New Roman"/>
        </w:rPr>
        <w:instrText xml:space="preserve">" </w:instrText>
      </w:r>
      <w:r w:rsidRPr="00A62681">
        <w:rPr>
          <w:rFonts w:ascii="Times New Roman" w:eastAsia="Calibri" w:hAnsi="Times New Roman" w:cs="Times New Roman"/>
          <w:b/>
          <w:sz w:val="24"/>
          <w:szCs w:val="24"/>
        </w:rPr>
        <w:fldChar w:fldCharType="end"/>
      </w:r>
      <w:r w:rsidRPr="00A62681">
        <w:rPr>
          <w:rFonts w:ascii="Times New Roman" w:eastAsia="Calibri" w:hAnsi="Times New Roman" w:cs="Times New Roman"/>
          <w:b/>
          <w:sz w:val="24"/>
          <w:szCs w:val="24"/>
        </w:rPr>
        <w:t>:</w:t>
      </w:r>
    </w:p>
    <w:p w:rsidR="00A62681" w:rsidRPr="00A62681" w:rsidRDefault="00A62681" w:rsidP="00A62681">
      <w:pPr>
        <w:spacing w:before="100" w:beforeAutospacing="1" w:after="100" w:afterAutospacing="1" w:line="240" w:lineRule="auto"/>
        <w:ind w:left="1440" w:hanging="720"/>
        <w:jc w:val="both"/>
        <w:rPr>
          <w:rFonts w:ascii="Times New Roman" w:eastAsia="Calibri" w:hAnsi="Times New Roman" w:cs="Times New Roman"/>
          <w:sz w:val="24"/>
          <w:szCs w:val="24"/>
        </w:rPr>
      </w:pPr>
      <w:r w:rsidRPr="00A62681">
        <w:rPr>
          <w:rFonts w:ascii="Times New Roman" w:eastAsia="Calibri" w:hAnsi="Times New Roman" w:cs="Times New Roman"/>
          <w:color w:val="000000"/>
          <w:sz w:val="24"/>
          <w:szCs w:val="24"/>
        </w:rPr>
        <w:t>(1)</w:t>
      </w:r>
      <w:r w:rsidRPr="00A62681">
        <w:rPr>
          <w:rFonts w:ascii="Times New Roman" w:eastAsia="Calibri" w:hAnsi="Times New Roman" w:cs="Times New Roman"/>
          <w:color w:val="000000"/>
          <w:sz w:val="24"/>
          <w:szCs w:val="24"/>
        </w:rPr>
        <w:tab/>
      </w:r>
      <w:r w:rsidRPr="00A62681">
        <w:rPr>
          <w:rFonts w:ascii="Times New Roman" w:eastAsia="Calibri" w:hAnsi="Times New Roman" w:cs="Times New Roman"/>
          <w:sz w:val="24"/>
          <w:szCs w:val="24"/>
        </w:rPr>
        <w:t>(a) What is the status of the evaluation report on scholar transport that was prepared by her department, in co-operation with the Department of Transport</w:t>
      </w:r>
      <w:r w:rsidRPr="00A62681">
        <w:rPr>
          <w:rFonts w:ascii="Times New Roman" w:eastAsia="Calibri" w:hAnsi="Times New Roman" w:cs="Times New Roman"/>
          <w:sz w:val="24"/>
          <w:szCs w:val="24"/>
        </w:rPr>
        <w:fldChar w:fldCharType="begin"/>
      </w:r>
      <w:r w:rsidRPr="00A62681">
        <w:rPr>
          <w:rFonts w:ascii="Calibri" w:eastAsia="Calibri" w:hAnsi="Calibri" w:cs="Times New Roman"/>
        </w:rPr>
        <w:instrText xml:space="preserve"> XE "</w:instrText>
      </w:r>
      <w:r w:rsidRPr="00A62681">
        <w:rPr>
          <w:rFonts w:ascii="Times New Roman" w:eastAsia="Calibri" w:hAnsi="Times New Roman" w:cs="Times New Roman"/>
          <w:b/>
          <w:sz w:val="24"/>
          <w:szCs w:val="24"/>
        </w:rPr>
        <w:instrText>Transport</w:instrText>
      </w:r>
      <w:r w:rsidRPr="00A62681">
        <w:rPr>
          <w:rFonts w:ascii="Calibri" w:eastAsia="Calibri" w:hAnsi="Calibri" w:cs="Times New Roman"/>
        </w:rPr>
        <w:instrText xml:space="preserve">" </w:instrText>
      </w:r>
      <w:r w:rsidRPr="00A62681">
        <w:rPr>
          <w:rFonts w:ascii="Times New Roman" w:eastAsia="Calibri" w:hAnsi="Times New Roman" w:cs="Times New Roman"/>
          <w:sz w:val="24"/>
          <w:szCs w:val="24"/>
        </w:rPr>
        <w:fldChar w:fldCharType="end"/>
      </w:r>
      <w:r w:rsidRPr="00A62681">
        <w:rPr>
          <w:rFonts w:ascii="Times New Roman" w:eastAsia="Calibri" w:hAnsi="Times New Roman" w:cs="Times New Roman"/>
          <w:sz w:val="24"/>
          <w:szCs w:val="24"/>
        </w:rPr>
        <w:t xml:space="preserve"> and the Department of Planning, Monitoring and Evaluation, (b) by what date will the specified report be released to the public and (c) what public participation processes </w:t>
      </w:r>
      <w:r w:rsidRPr="00A62681">
        <w:rPr>
          <w:rFonts w:ascii="Times New Roman" w:eastAsia="Calibri" w:hAnsi="Times New Roman" w:cs="Times New Roman"/>
          <w:bCs/>
          <w:sz w:val="24"/>
          <w:szCs w:val="24"/>
        </w:rPr>
        <w:t>will</w:t>
      </w:r>
      <w:r w:rsidRPr="00A62681">
        <w:rPr>
          <w:rFonts w:ascii="Times New Roman" w:eastAsia="Calibri" w:hAnsi="Times New Roman" w:cs="Times New Roman"/>
          <w:sz w:val="24"/>
          <w:szCs w:val="24"/>
        </w:rPr>
        <w:t xml:space="preserve"> be accommodated;</w:t>
      </w:r>
    </w:p>
    <w:p w:rsidR="006D7B63" w:rsidRPr="000410AA" w:rsidRDefault="00A62681" w:rsidP="000410AA">
      <w:pPr>
        <w:spacing w:before="100" w:beforeAutospacing="1" w:after="100" w:afterAutospacing="1" w:line="240" w:lineRule="auto"/>
        <w:ind w:left="1440" w:hanging="720"/>
        <w:jc w:val="both"/>
        <w:rPr>
          <w:rFonts w:ascii="Times New Roman" w:eastAsia="Calibri" w:hAnsi="Times New Roman" w:cs="Times New Roman"/>
          <w:sz w:val="20"/>
          <w:szCs w:val="20"/>
        </w:rPr>
      </w:pPr>
      <w:r w:rsidRPr="00A62681">
        <w:rPr>
          <w:rFonts w:ascii="Times New Roman" w:eastAsia="Calibri" w:hAnsi="Times New Roman" w:cs="Times New Roman"/>
          <w:color w:val="000000"/>
          <w:sz w:val="24"/>
          <w:szCs w:val="24"/>
        </w:rPr>
        <w:t>(2)</w:t>
      </w:r>
      <w:r w:rsidRPr="00A62681">
        <w:rPr>
          <w:rFonts w:ascii="Times New Roman" w:eastAsia="Calibri" w:hAnsi="Times New Roman" w:cs="Times New Roman"/>
          <w:color w:val="000000"/>
          <w:sz w:val="24"/>
          <w:szCs w:val="24"/>
        </w:rPr>
        <w:tab/>
      </w:r>
      <w:r w:rsidRPr="00A62681">
        <w:rPr>
          <w:rFonts w:ascii="Times New Roman" w:eastAsia="Calibri" w:hAnsi="Times New Roman" w:cs="Times New Roman"/>
          <w:sz w:val="24"/>
          <w:szCs w:val="24"/>
        </w:rPr>
        <w:t>what is the status on steps to impose standardised criteria and/or minimum standards on provinces, with specific reference to the (a) status of learner transport policies in each province and (b) progress made by each province to accommodate learners with disabilities in this regard?</w:t>
      </w:r>
      <w:r w:rsidRPr="00A62681">
        <w:rPr>
          <w:rFonts w:ascii="Times New Roman" w:eastAsia="Calibri" w:hAnsi="Times New Roman" w:cs="Times New Roman"/>
          <w:sz w:val="24"/>
          <w:szCs w:val="24"/>
        </w:rPr>
        <w:tab/>
      </w:r>
      <w:r w:rsidRPr="00A62681">
        <w:rPr>
          <w:rFonts w:ascii="Times New Roman" w:eastAsia="Calibri" w:hAnsi="Times New Roman" w:cs="Times New Roman"/>
          <w:sz w:val="24"/>
          <w:szCs w:val="24"/>
        </w:rPr>
        <w:tab/>
      </w:r>
      <w:r w:rsidRPr="00A62681">
        <w:rPr>
          <w:rFonts w:ascii="Times New Roman" w:eastAsia="Calibri" w:hAnsi="Times New Roman" w:cs="Times New Roman"/>
          <w:sz w:val="20"/>
          <w:szCs w:val="20"/>
        </w:rPr>
        <w:t>NW2613E</w:t>
      </w:r>
    </w:p>
    <w:p w:rsidR="000751C3" w:rsidRPr="000751C3" w:rsidRDefault="000751C3">
      <w:pPr>
        <w:rPr>
          <w:rFonts w:ascii="Times New Roman" w:hAnsi="Times New Roman" w:cs="Times New Roman"/>
          <w:b/>
          <w:sz w:val="28"/>
          <w:szCs w:val="28"/>
        </w:rPr>
      </w:pPr>
      <w:r w:rsidRPr="000751C3">
        <w:rPr>
          <w:rFonts w:ascii="Times New Roman" w:hAnsi="Times New Roman" w:cs="Times New Roman"/>
          <w:b/>
          <w:sz w:val="28"/>
          <w:szCs w:val="28"/>
        </w:rPr>
        <w:t xml:space="preserve">Response </w:t>
      </w:r>
    </w:p>
    <w:p w:rsidR="002E49AF" w:rsidRPr="002E49AF" w:rsidRDefault="003273D9" w:rsidP="00AA2C93">
      <w:pPr>
        <w:pStyle w:val="ListParagraph"/>
        <w:numPr>
          <w:ilvl w:val="0"/>
          <w:numId w:val="1"/>
        </w:numPr>
        <w:ind w:left="900"/>
        <w:jc w:val="both"/>
        <w:rPr>
          <w:rFonts w:ascii="Times New Roman" w:hAnsi="Times New Roman" w:cs="Times New Roman"/>
          <w:sz w:val="24"/>
          <w:szCs w:val="24"/>
        </w:rPr>
      </w:pPr>
      <w:r w:rsidRPr="00DC226B">
        <w:rPr>
          <w:rFonts w:ascii="Times New Roman" w:hAnsi="Times New Roman" w:cs="Times New Roman"/>
        </w:rPr>
        <w:t xml:space="preserve"> </w:t>
      </w:r>
      <w:r w:rsidR="00AA2C93" w:rsidRPr="00DC226B">
        <w:rPr>
          <w:rFonts w:ascii="Times New Roman" w:hAnsi="Times New Roman" w:cs="Times New Roman"/>
        </w:rPr>
        <w:t xml:space="preserve">(a) </w:t>
      </w:r>
      <w:r w:rsidR="00EB49EA" w:rsidRPr="00DC226B">
        <w:rPr>
          <w:rFonts w:ascii="Times New Roman" w:hAnsi="Times New Roman" w:cs="Times New Roman"/>
        </w:rPr>
        <w:t xml:space="preserve">The Evaluation of the Learner Transport was commissioned by the Standing Committee on Appropriations and was led by the </w:t>
      </w:r>
      <w:r w:rsidR="00EB49EA" w:rsidRPr="00DC226B">
        <w:rPr>
          <w:rFonts w:ascii="Times New Roman" w:eastAsia="Calibri" w:hAnsi="Times New Roman" w:cs="Times New Roman"/>
        </w:rPr>
        <w:t>Department of Planning, Monitoring and Evaluation, in collaboration with the Department of Basic Education, Department of Transport and the National Treasury</w:t>
      </w:r>
      <w:r w:rsidR="00EB49EA" w:rsidRPr="00DC226B">
        <w:rPr>
          <w:rFonts w:ascii="Times New Roman" w:hAnsi="Times New Roman" w:cs="Times New Roman"/>
        </w:rPr>
        <w:t xml:space="preserve">. </w:t>
      </w:r>
      <w:r w:rsidR="000751C3" w:rsidRPr="00DC226B">
        <w:rPr>
          <w:rFonts w:ascii="Times New Roman" w:eastAsia="Calibri" w:hAnsi="Times New Roman" w:cs="Times New Roman"/>
        </w:rPr>
        <w:t>The</w:t>
      </w:r>
      <w:r w:rsidR="000751C3" w:rsidRPr="00DC226B">
        <w:rPr>
          <w:rFonts w:ascii="Times New Roman" w:hAnsi="Times New Roman" w:cs="Times New Roman"/>
        </w:rPr>
        <w:t xml:space="preserve"> report </w:t>
      </w:r>
      <w:r w:rsidRPr="00DC226B">
        <w:rPr>
          <w:rFonts w:ascii="Times New Roman" w:hAnsi="Times New Roman" w:cs="Times New Roman"/>
        </w:rPr>
        <w:t xml:space="preserve">was </w:t>
      </w:r>
      <w:r w:rsidR="00AA2C93" w:rsidRPr="00DC226B">
        <w:rPr>
          <w:rFonts w:ascii="Times New Roman" w:hAnsi="Times New Roman" w:cs="Times New Roman"/>
        </w:rPr>
        <w:t>comp</w:t>
      </w:r>
      <w:r w:rsidR="00B7450E" w:rsidRPr="00DC226B">
        <w:rPr>
          <w:rFonts w:ascii="Times New Roman" w:hAnsi="Times New Roman" w:cs="Times New Roman"/>
        </w:rPr>
        <w:t>l</w:t>
      </w:r>
      <w:r w:rsidR="00AA2C93" w:rsidRPr="00DC226B">
        <w:rPr>
          <w:rFonts w:ascii="Times New Roman" w:hAnsi="Times New Roman" w:cs="Times New Roman"/>
        </w:rPr>
        <w:t xml:space="preserve">eted </w:t>
      </w:r>
      <w:r w:rsidR="000751C3" w:rsidRPr="00DC226B">
        <w:rPr>
          <w:rFonts w:ascii="Times New Roman" w:hAnsi="Times New Roman" w:cs="Times New Roman"/>
        </w:rPr>
        <w:t>and</w:t>
      </w:r>
      <w:r w:rsidR="000751C3" w:rsidRPr="000B68AD">
        <w:rPr>
          <w:rFonts w:ascii="Times New Roman" w:hAnsi="Times New Roman" w:cs="Times New Roman"/>
        </w:rPr>
        <w:t xml:space="preserve"> approved by the Project </w:t>
      </w:r>
      <w:r w:rsidRPr="000B68AD">
        <w:rPr>
          <w:rFonts w:ascii="Times New Roman" w:hAnsi="Times New Roman" w:cs="Times New Roman"/>
        </w:rPr>
        <w:t>Steering Committee</w:t>
      </w:r>
      <w:r w:rsidR="00AA2C93" w:rsidRPr="000B68AD">
        <w:rPr>
          <w:rFonts w:ascii="Times New Roman" w:hAnsi="Times New Roman" w:cs="Times New Roman"/>
        </w:rPr>
        <w:t xml:space="preserve"> in June 2019</w:t>
      </w:r>
      <w:r w:rsidR="00B6303F" w:rsidRPr="000B68AD">
        <w:rPr>
          <w:rFonts w:ascii="Times New Roman" w:hAnsi="Times New Roman" w:cs="Times New Roman"/>
        </w:rPr>
        <w:t xml:space="preserve">. </w:t>
      </w:r>
      <w:r w:rsidR="00AA2C93" w:rsidRPr="000B68AD">
        <w:rPr>
          <w:rFonts w:ascii="Times New Roman" w:hAnsi="Times New Roman" w:cs="Times New Roman"/>
        </w:rPr>
        <w:t xml:space="preserve">An </w:t>
      </w:r>
      <w:r w:rsidR="000751C3" w:rsidRPr="000B68AD">
        <w:rPr>
          <w:rFonts w:ascii="Times New Roman" w:hAnsi="Times New Roman" w:cs="Times New Roman"/>
        </w:rPr>
        <w:t xml:space="preserve">improvement </w:t>
      </w:r>
      <w:r w:rsidR="00B6303F" w:rsidRPr="000B68AD">
        <w:rPr>
          <w:rFonts w:ascii="Times New Roman" w:hAnsi="Times New Roman" w:cs="Times New Roman"/>
        </w:rPr>
        <w:t xml:space="preserve">plan responding to evaluation recommendations </w:t>
      </w:r>
      <w:r w:rsidR="00AA2C93" w:rsidRPr="000B68AD">
        <w:rPr>
          <w:rFonts w:ascii="Times New Roman" w:hAnsi="Times New Roman" w:cs="Times New Roman"/>
        </w:rPr>
        <w:t xml:space="preserve">was also </w:t>
      </w:r>
      <w:r w:rsidRPr="000B68AD">
        <w:rPr>
          <w:rFonts w:ascii="Times New Roman" w:hAnsi="Times New Roman" w:cs="Times New Roman"/>
        </w:rPr>
        <w:t>developed and finalised by the P</w:t>
      </w:r>
      <w:r w:rsidR="00AA2C93" w:rsidRPr="000B68AD">
        <w:rPr>
          <w:rFonts w:ascii="Times New Roman" w:hAnsi="Times New Roman" w:cs="Times New Roman"/>
        </w:rPr>
        <w:t xml:space="preserve">roject Steering Committee. </w:t>
      </w:r>
    </w:p>
    <w:p w:rsidR="002E49AF" w:rsidRPr="002E49AF" w:rsidRDefault="002E49AF" w:rsidP="002E49AF">
      <w:pPr>
        <w:pStyle w:val="ListParagraph"/>
        <w:ind w:left="900"/>
        <w:jc w:val="both"/>
        <w:rPr>
          <w:rFonts w:ascii="Times New Roman" w:hAnsi="Times New Roman" w:cs="Times New Roman"/>
          <w:sz w:val="24"/>
          <w:szCs w:val="24"/>
        </w:rPr>
      </w:pPr>
    </w:p>
    <w:p w:rsidR="002E49AF" w:rsidRDefault="00AA2C93" w:rsidP="002E49AF">
      <w:pPr>
        <w:pStyle w:val="ListParagraph"/>
        <w:ind w:left="900"/>
        <w:jc w:val="both"/>
        <w:rPr>
          <w:rFonts w:ascii="Times New Roman" w:hAnsi="Times New Roman" w:cs="Times New Roman"/>
        </w:rPr>
      </w:pPr>
      <w:r w:rsidRPr="000B68AD">
        <w:rPr>
          <w:rFonts w:ascii="Times New Roman" w:hAnsi="Times New Roman" w:cs="Times New Roman"/>
        </w:rPr>
        <w:t xml:space="preserve">(b) </w:t>
      </w:r>
      <w:r w:rsidR="000751C3" w:rsidRPr="000B68AD">
        <w:rPr>
          <w:rFonts w:ascii="Times New Roman" w:hAnsi="Times New Roman" w:cs="Times New Roman"/>
        </w:rPr>
        <w:t xml:space="preserve">According to evaluation processes spelt out in the National Evaluation Policy Framework, 2011 an evaluation </w:t>
      </w:r>
      <w:r w:rsidR="00615E24" w:rsidRPr="000B68AD">
        <w:rPr>
          <w:rFonts w:ascii="Times New Roman" w:hAnsi="Times New Roman" w:cs="Times New Roman"/>
        </w:rPr>
        <w:t>report,</w:t>
      </w:r>
      <w:r w:rsidR="000751C3" w:rsidRPr="000B68AD">
        <w:rPr>
          <w:rFonts w:ascii="Times New Roman" w:hAnsi="Times New Roman" w:cs="Times New Roman"/>
        </w:rPr>
        <w:t xml:space="preserve"> improvement plan and management r</w:t>
      </w:r>
      <w:r w:rsidR="00615E24" w:rsidRPr="000B68AD">
        <w:rPr>
          <w:rFonts w:ascii="Times New Roman" w:hAnsi="Times New Roman" w:cs="Times New Roman"/>
        </w:rPr>
        <w:t>esponse (endorsed by</w:t>
      </w:r>
      <w:r w:rsidRPr="000B68AD">
        <w:rPr>
          <w:rFonts w:ascii="Times New Roman" w:hAnsi="Times New Roman" w:cs="Times New Roman"/>
        </w:rPr>
        <w:t xml:space="preserve"> DOT and </w:t>
      </w:r>
      <w:r w:rsidR="003273D9" w:rsidRPr="000B68AD">
        <w:rPr>
          <w:rFonts w:ascii="Times New Roman" w:hAnsi="Times New Roman" w:cs="Times New Roman"/>
        </w:rPr>
        <w:t>D</w:t>
      </w:r>
      <w:r w:rsidRPr="000B68AD">
        <w:rPr>
          <w:rFonts w:ascii="Times New Roman" w:hAnsi="Times New Roman" w:cs="Times New Roman"/>
        </w:rPr>
        <w:t xml:space="preserve">BE) are </w:t>
      </w:r>
      <w:r w:rsidR="00EB49EA">
        <w:rPr>
          <w:rFonts w:ascii="Times New Roman" w:hAnsi="Times New Roman" w:cs="Times New Roman"/>
        </w:rPr>
        <w:t xml:space="preserve">to be </w:t>
      </w:r>
      <w:r w:rsidRPr="000B68AD">
        <w:rPr>
          <w:rFonts w:ascii="Times New Roman" w:hAnsi="Times New Roman" w:cs="Times New Roman"/>
        </w:rPr>
        <w:t>presented to C</w:t>
      </w:r>
      <w:r w:rsidR="00615E24" w:rsidRPr="000B68AD">
        <w:rPr>
          <w:rFonts w:ascii="Times New Roman" w:hAnsi="Times New Roman" w:cs="Times New Roman"/>
        </w:rPr>
        <w:t>abinet</w:t>
      </w:r>
      <w:r w:rsidR="00EB49EA">
        <w:rPr>
          <w:rFonts w:ascii="Times New Roman" w:hAnsi="Times New Roman" w:cs="Times New Roman"/>
        </w:rPr>
        <w:t xml:space="preserve"> by the DPME</w:t>
      </w:r>
      <w:r w:rsidR="00615E24" w:rsidRPr="000B68AD">
        <w:rPr>
          <w:rFonts w:ascii="Times New Roman" w:hAnsi="Times New Roman" w:cs="Times New Roman"/>
        </w:rPr>
        <w:t>.</w:t>
      </w:r>
      <w:r w:rsidR="003273D9" w:rsidRPr="000B68AD">
        <w:rPr>
          <w:rFonts w:ascii="Times New Roman" w:hAnsi="Times New Roman" w:cs="Times New Roman"/>
        </w:rPr>
        <w:t xml:space="preserve"> To date, the DBE has submitted the management response</w:t>
      </w:r>
      <w:r w:rsidR="00A770F0" w:rsidRPr="000B68AD">
        <w:rPr>
          <w:rFonts w:ascii="Times New Roman" w:hAnsi="Times New Roman" w:cs="Times New Roman"/>
        </w:rPr>
        <w:t xml:space="preserve">. The submission from the </w:t>
      </w:r>
      <w:r w:rsidR="00B6303F" w:rsidRPr="000B68AD">
        <w:rPr>
          <w:rFonts w:ascii="Times New Roman" w:hAnsi="Times New Roman" w:cs="Times New Roman"/>
        </w:rPr>
        <w:t>D</w:t>
      </w:r>
      <w:r w:rsidR="003273D9" w:rsidRPr="000B68AD">
        <w:rPr>
          <w:rFonts w:ascii="Times New Roman" w:hAnsi="Times New Roman" w:cs="Times New Roman"/>
        </w:rPr>
        <w:t>epartment of Transport (D</w:t>
      </w:r>
      <w:r w:rsidR="00B6303F" w:rsidRPr="000B68AD">
        <w:rPr>
          <w:rFonts w:ascii="Times New Roman" w:hAnsi="Times New Roman" w:cs="Times New Roman"/>
        </w:rPr>
        <w:t>OT</w:t>
      </w:r>
      <w:r w:rsidR="003273D9" w:rsidRPr="000B68AD">
        <w:rPr>
          <w:rFonts w:ascii="Times New Roman" w:hAnsi="Times New Roman" w:cs="Times New Roman"/>
        </w:rPr>
        <w:t>)</w:t>
      </w:r>
      <w:r w:rsidR="00A770F0" w:rsidRPr="000B68AD">
        <w:rPr>
          <w:rFonts w:ascii="Times New Roman" w:hAnsi="Times New Roman" w:cs="Times New Roman"/>
        </w:rPr>
        <w:t xml:space="preserve"> is </w:t>
      </w:r>
      <w:r w:rsidR="00EB49EA">
        <w:rPr>
          <w:rFonts w:ascii="Times New Roman" w:hAnsi="Times New Roman" w:cs="Times New Roman"/>
        </w:rPr>
        <w:t xml:space="preserve">still </w:t>
      </w:r>
      <w:r w:rsidR="00A770F0" w:rsidRPr="000B68AD">
        <w:rPr>
          <w:rFonts w:ascii="Times New Roman" w:hAnsi="Times New Roman" w:cs="Times New Roman"/>
        </w:rPr>
        <w:t>outstanding</w:t>
      </w:r>
      <w:r w:rsidR="00B6303F" w:rsidRPr="000B68AD">
        <w:rPr>
          <w:rFonts w:ascii="Times New Roman" w:hAnsi="Times New Roman" w:cs="Times New Roman"/>
        </w:rPr>
        <w:t xml:space="preserve">. It is then after which the evaluation report, management response and improvement plan will be presented </w:t>
      </w:r>
      <w:r w:rsidR="004B6FE5" w:rsidRPr="000B68AD">
        <w:rPr>
          <w:rFonts w:ascii="Times New Roman" w:hAnsi="Times New Roman" w:cs="Times New Roman"/>
        </w:rPr>
        <w:t xml:space="preserve">to </w:t>
      </w:r>
      <w:r w:rsidR="00B6303F" w:rsidRPr="000B68AD">
        <w:rPr>
          <w:rFonts w:ascii="Times New Roman" w:hAnsi="Times New Roman" w:cs="Times New Roman"/>
        </w:rPr>
        <w:t>the Social Protection, Community and Human Development Cluster</w:t>
      </w:r>
      <w:r w:rsidRPr="000B68AD">
        <w:rPr>
          <w:rFonts w:ascii="Times New Roman" w:hAnsi="Times New Roman" w:cs="Times New Roman"/>
        </w:rPr>
        <w:t xml:space="preserve"> </w:t>
      </w:r>
      <w:r w:rsidR="00B6303F" w:rsidRPr="000B68AD">
        <w:rPr>
          <w:rFonts w:ascii="Times New Roman" w:hAnsi="Times New Roman" w:cs="Times New Roman"/>
        </w:rPr>
        <w:t>(SPCHD</w:t>
      </w:r>
      <w:r w:rsidRPr="000B68AD">
        <w:rPr>
          <w:rFonts w:ascii="Times New Roman" w:hAnsi="Times New Roman" w:cs="Times New Roman"/>
        </w:rPr>
        <w:t xml:space="preserve">) for approval </w:t>
      </w:r>
      <w:r w:rsidR="002E49AF">
        <w:rPr>
          <w:rFonts w:ascii="Times New Roman" w:hAnsi="Times New Roman" w:cs="Times New Roman"/>
        </w:rPr>
        <w:t xml:space="preserve">and </w:t>
      </w:r>
      <w:r w:rsidRPr="000B68AD">
        <w:rPr>
          <w:rFonts w:ascii="Times New Roman" w:hAnsi="Times New Roman" w:cs="Times New Roman"/>
        </w:rPr>
        <w:t xml:space="preserve">to be tabled </w:t>
      </w:r>
      <w:r w:rsidR="00DC226B">
        <w:rPr>
          <w:rFonts w:ascii="Times New Roman" w:hAnsi="Times New Roman" w:cs="Times New Roman"/>
        </w:rPr>
        <w:t>to</w:t>
      </w:r>
      <w:r w:rsidRPr="000B68AD">
        <w:rPr>
          <w:rFonts w:ascii="Times New Roman" w:hAnsi="Times New Roman" w:cs="Times New Roman"/>
        </w:rPr>
        <w:t xml:space="preserve"> C</w:t>
      </w:r>
      <w:r w:rsidR="00B6303F" w:rsidRPr="000B68AD">
        <w:rPr>
          <w:rFonts w:ascii="Times New Roman" w:hAnsi="Times New Roman" w:cs="Times New Roman"/>
        </w:rPr>
        <w:t xml:space="preserve">abinet. </w:t>
      </w:r>
      <w:r w:rsidRPr="000B68AD">
        <w:rPr>
          <w:rFonts w:ascii="Times New Roman" w:hAnsi="Times New Roman" w:cs="Times New Roman"/>
        </w:rPr>
        <w:t>Once the report is approved by C</w:t>
      </w:r>
      <w:r w:rsidR="00B6303F" w:rsidRPr="000B68AD">
        <w:rPr>
          <w:rFonts w:ascii="Times New Roman" w:hAnsi="Times New Roman" w:cs="Times New Roman"/>
        </w:rPr>
        <w:t xml:space="preserve">abinet, it is then that it can be made public. </w:t>
      </w:r>
    </w:p>
    <w:p w:rsidR="002E49AF" w:rsidRDefault="002E49AF" w:rsidP="002E49AF">
      <w:pPr>
        <w:pStyle w:val="ListParagraph"/>
        <w:ind w:left="900"/>
        <w:jc w:val="both"/>
        <w:rPr>
          <w:rFonts w:ascii="Times New Roman" w:hAnsi="Times New Roman" w:cs="Times New Roman"/>
        </w:rPr>
      </w:pPr>
    </w:p>
    <w:p w:rsidR="00B6303F" w:rsidRDefault="00AA2C93" w:rsidP="002E49AF">
      <w:pPr>
        <w:pStyle w:val="ListParagraph"/>
        <w:ind w:left="900"/>
        <w:jc w:val="both"/>
        <w:rPr>
          <w:rFonts w:ascii="Times New Roman" w:hAnsi="Times New Roman" w:cs="Times New Roman"/>
          <w:sz w:val="24"/>
          <w:szCs w:val="24"/>
        </w:rPr>
      </w:pPr>
      <w:r w:rsidRPr="000B68AD">
        <w:rPr>
          <w:rFonts w:ascii="Times New Roman" w:hAnsi="Times New Roman" w:cs="Times New Roman"/>
        </w:rPr>
        <w:t xml:space="preserve">(c) </w:t>
      </w:r>
      <w:r w:rsidR="00B6303F" w:rsidRPr="000B68AD">
        <w:rPr>
          <w:rFonts w:ascii="Times New Roman" w:hAnsi="Times New Roman" w:cs="Times New Roman"/>
        </w:rPr>
        <w:t>Public participation has been factored in during the evaluation process from data collection and through stakeholder validation process which saw civil society</w:t>
      </w:r>
      <w:r w:rsidR="004B6FE5" w:rsidRPr="000B68AD">
        <w:rPr>
          <w:rFonts w:ascii="Times New Roman" w:hAnsi="Times New Roman" w:cs="Times New Roman"/>
        </w:rPr>
        <w:t xml:space="preserve"> organisations participate</w:t>
      </w:r>
      <w:r w:rsidR="00EB49EA">
        <w:rPr>
          <w:rFonts w:ascii="Times New Roman" w:hAnsi="Times New Roman" w:cs="Times New Roman"/>
        </w:rPr>
        <w:t xml:space="preserve"> in the process</w:t>
      </w:r>
      <w:r w:rsidR="004B6FE5" w:rsidRPr="000B68AD">
        <w:rPr>
          <w:rFonts w:ascii="Times New Roman" w:hAnsi="Times New Roman" w:cs="Times New Roman"/>
        </w:rPr>
        <w:t>. The same civil society organisations were requested to provide feedback to the evaluation report before it got finalised.</w:t>
      </w:r>
    </w:p>
    <w:p w:rsidR="008527DE" w:rsidRPr="00AA2C93" w:rsidRDefault="008527DE" w:rsidP="008527DE">
      <w:pPr>
        <w:pStyle w:val="ListParagraph"/>
        <w:ind w:left="900"/>
        <w:jc w:val="both"/>
        <w:rPr>
          <w:rFonts w:ascii="Times New Roman" w:hAnsi="Times New Roman" w:cs="Times New Roman"/>
          <w:sz w:val="24"/>
          <w:szCs w:val="24"/>
        </w:rPr>
      </w:pPr>
    </w:p>
    <w:p w:rsidR="006D7B63" w:rsidRDefault="008527DE" w:rsidP="008527DE">
      <w:pPr>
        <w:pStyle w:val="ListParagraph"/>
        <w:numPr>
          <w:ilvl w:val="0"/>
          <w:numId w:val="1"/>
        </w:numPr>
        <w:ind w:left="900"/>
        <w:jc w:val="both"/>
        <w:rPr>
          <w:rFonts w:ascii="Times New Roman" w:hAnsi="Times New Roman" w:cs="Times New Roman"/>
        </w:rPr>
      </w:pPr>
      <w:r>
        <w:rPr>
          <w:rFonts w:ascii="Times New Roman" w:hAnsi="Times New Roman" w:cs="Times New Roman"/>
        </w:rPr>
        <w:t xml:space="preserve">(a) The National Learner Transport Policy </w:t>
      </w:r>
      <w:r w:rsidRPr="008527DE">
        <w:rPr>
          <w:rFonts w:ascii="Times New Roman" w:hAnsi="Times New Roman" w:cs="Times New Roman"/>
          <w:b/>
          <w:i/>
        </w:rPr>
        <w:t>section 6.8</w:t>
      </w:r>
      <w:r>
        <w:rPr>
          <w:rFonts w:ascii="Times New Roman" w:hAnsi="Times New Roman" w:cs="Times New Roman"/>
        </w:rPr>
        <w:t xml:space="preserve"> dictates that all provinces must develop provincial learner transport plans and strategies aligned with the National Learner Transport Policy but specific to their own environments. To date all provinces have developed their </w:t>
      </w:r>
      <w:r>
        <w:rPr>
          <w:rFonts w:ascii="Times New Roman" w:hAnsi="Times New Roman" w:cs="Times New Roman"/>
        </w:rPr>
        <w:lastRenderedPageBreak/>
        <w:t>provincial learner transport p</w:t>
      </w:r>
      <w:r w:rsidR="002E49AF">
        <w:rPr>
          <w:rFonts w:ascii="Times New Roman" w:hAnsi="Times New Roman" w:cs="Times New Roman"/>
        </w:rPr>
        <w:t>olicies and KwaZulu-</w:t>
      </w:r>
      <w:r>
        <w:rPr>
          <w:rFonts w:ascii="Times New Roman" w:hAnsi="Times New Roman" w:cs="Times New Roman"/>
        </w:rPr>
        <w:t>Natal province is currently reviewing its learner transport policy.</w:t>
      </w:r>
    </w:p>
    <w:p w:rsidR="008527DE" w:rsidRPr="008527DE" w:rsidRDefault="008527DE" w:rsidP="008527DE">
      <w:pPr>
        <w:pStyle w:val="ListParagraph"/>
        <w:rPr>
          <w:rFonts w:ascii="Times New Roman" w:hAnsi="Times New Roman" w:cs="Times New Roman"/>
        </w:rPr>
      </w:pPr>
    </w:p>
    <w:p w:rsidR="008527DE" w:rsidRDefault="008527DE" w:rsidP="008527DE">
      <w:pPr>
        <w:pStyle w:val="ListParagraph"/>
        <w:ind w:left="900"/>
        <w:jc w:val="both"/>
        <w:rPr>
          <w:rFonts w:ascii="Times New Roman" w:hAnsi="Times New Roman" w:cs="Times New Roman"/>
        </w:rPr>
      </w:pPr>
      <w:r>
        <w:rPr>
          <w:rFonts w:ascii="Times New Roman" w:hAnsi="Times New Roman" w:cs="Times New Roman"/>
        </w:rPr>
        <w:t xml:space="preserve">(b) </w:t>
      </w:r>
      <w:r w:rsidR="009E21AC">
        <w:rPr>
          <w:rFonts w:ascii="Times New Roman" w:hAnsi="Times New Roman" w:cs="Times New Roman"/>
        </w:rPr>
        <w:t xml:space="preserve">The National Learner Transport Policy </w:t>
      </w:r>
      <w:r w:rsidR="009E21AC" w:rsidRPr="009E21AC">
        <w:rPr>
          <w:rFonts w:ascii="Times New Roman" w:hAnsi="Times New Roman" w:cs="Times New Roman"/>
          <w:b/>
          <w:i/>
        </w:rPr>
        <w:t>section 3.9</w:t>
      </w:r>
      <w:r w:rsidR="009E21AC">
        <w:rPr>
          <w:rFonts w:ascii="Times New Roman" w:hAnsi="Times New Roman" w:cs="Times New Roman"/>
        </w:rPr>
        <w:t xml:space="preserve"> dictates that the sector must work towards universal design, in that all vehicles transporting learners must adhere to the requirements and principles of universal design, especially those transporting learners with disabilities. As part of the mainstreaming of the learner transport programme, to date the sector is providing learner transport to learners with special</w:t>
      </w:r>
      <w:r w:rsidR="002E49AF">
        <w:rPr>
          <w:rFonts w:ascii="Times New Roman" w:hAnsi="Times New Roman" w:cs="Times New Roman"/>
        </w:rPr>
        <w:t xml:space="preserve"> education needs as follows:</w:t>
      </w:r>
    </w:p>
    <w:p w:rsidR="009E21AC" w:rsidRPr="006D7B63" w:rsidRDefault="009E21AC" w:rsidP="008527DE">
      <w:pPr>
        <w:pStyle w:val="ListParagraph"/>
        <w:ind w:left="900"/>
        <w:jc w:val="both"/>
        <w:rPr>
          <w:rFonts w:ascii="Times New Roman" w:hAnsi="Times New Roman" w:cs="Times New Roman"/>
        </w:rPr>
      </w:pPr>
    </w:p>
    <w:tbl>
      <w:tblPr>
        <w:tblW w:w="9488" w:type="dxa"/>
        <w:tblLayout w:type="fixed"/>
        <w:tblLook w:val="04A0" w:firstRow="1" w:lastRow="0" w:firstColumn="1" w:lastColumn="0" w:noHBand="0" w:noVBand="1"/>
      </w:tblPr>
      <w:tblGrid>
        <w:gridCol w:w="652"/>
        <w:gridCol w:w="793"/>
        <w:gridCol w:w="725"/>
        <w:gridCol w:w="815"/>
        <w:gridCol w:w="815"/>
        <w:gridCol w:w="815"/>
        <w:gridCol w:w="1040"/>
        <w:gridCol w:w="1040"/>
        <w:gridCol w:w="725"/>
        <w:gridCol w:w="1075"/>
        <w:gridCol w:w="993"/>
      </w:tblGrid>
      <w:tr w:rsidR="0046068C" w:rsidRPr="00631928" w:rsidTr="00E1199A">
        <w:trPr>
          <w:trHeight w:val="335"/>
        </w:trPr>
        <w:tc>
          <w:tcPr>
            <w:tcW w:w="9488" w:type="dxa"/>
            <w:gridSpan w:val="11"/>
            <w:tcBorders>
              <w:top w:val="single" w:sz="8" w:space="0" w:color="auto"/>
              <w:left w:val="single" w:sz="8" w:space="0" w:color="auto"/>
              <w:bottom w:val="single" w:sz="8" w:space="0" w:color="auto"/>
              <w:right w:val="single" w:sz="8" w:space="0" w:color="000000"/>
            </w:tcBorders>
            <w:shd w:val="clear" w:color="000000" w:fill="2F75B5"/>
            <w:noWrap/>
            <w:vAlign w:val="center"/>
            <w:hideMark/>
          </w:tcPr>
          <w:p w:rsidR="0046068C" w:rsidRPr="00631928" w:rsidRDefault="0046068C" w:rsidP="00E1199A">
            <w:pPr>
              <w:spacing w:after="0" w:line="240" w:lineRule="auto"/>
              <w:jc w:val="center"/>
              <w:rPr>
                <w:rFonts w:ascii="Arial" w:eastAsia="Times New Roman" w:hAnsi="Arial" w:cs="Arial"/>
                <w:b/>
                <w:bCs/>
                <w:color w:val="DDEBF7"/>
                <w:sz w:val="28"/>
                <w:szCs w:val="28"/>
                <w:lang w:eastAsia="en-ZA"/>
              </w:rPr>
            </w:pPr>
            <w:r w:rsidRPr="00631928">
              <w:rPr>
                <w:rFonts w:ascii="Arial" w:eastAsia="Times New Roman" w:hAnsi="Arial" w:cs="Arial"/>
                <w:b/>
                <w:bCs/>
                <w:color w:val="DDEBF7"/>
                <w:sz w:val="28"/>
                <w:szCs w:val="28"/>
                <w:lang w:eastAsia="en-ZA"/>
              </w:rPr>
              <w:t>Learners transported per quarter (with Disabilities) Q2 of 2019-20</w:t>
            </w:r>
          </w:p>
        </w:tc>
      </w:tr>
      <w:tr w:rsidR="0046068C" w:rsidRPr="00631928" w:rsidTr="00E1199A">
        <w:trPr>
          <w:trHeight w:val="281"/>
        </w:trPr>
        <w:tc>
          <w:tcPr>
            <w:tcW w:w="652" w:type="dxa"/>
            <w:vMerge w:val="restart"/>
            <w:tcBorders>
              <w:top w:val="nil"/>
              <w:left w:val="single" w:sz="8" w:space="0" w:color="auto"/>
              <w:bottom w:val="single" w:sz="8" w:space="0" w:color="000000"/>
              <w:right w:val="single" w:sz="8" w:space="0" w:color="auto"/>
            </w:tcBorders>
            <w:shd w:val="clear" w:color="000000" w:fill="2F75B5"/>
            <w:noWrap/>
            <w:vAlign w:val="center"/>
            <w:hideMark/>
          </w:tcPr>
          <w:p w:rsidR="0046068C" w:rsidRPr="00631928" w:rsidRDefault="0046068C" w:rsidP="00E1199A">
            <w:pPr>
              <w:spacing w:after="0" w:line="240" w:lineRule="auto"/>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PED</w:t>
            </w:r>
          </w:p>
        </w:tc>
        <w:tc>
          <w:tcPr>
            <w:tcW w:w="1518" w:type="dxa"/>
            <w:gridSpan w:val="2"/>
            <w:tcBorders>
              <w:top w:val="single" w:sz="8" w:space="0" w:color="auto"/>
              <w:left w:val="single" w:sz="8" w:space="0" w:color="auto"/>
              <w:bottom w:val="single" w:sz="8" w:space="0" w:color="auto"/>
              <w:right w:val="single" w:sz="8" w:space="0" w:color="000000"/>
            </w:tcBorders>
            <w:shd w:val="clear" w:color="000000" w:fill="2F75B5"/>
            <w:noWrap/>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NEEDS</w:t>
            </w:r>
          </w:p>
        </w:tc>
        <w:tc>
          <w:tcPr>
            <w:tcW w:w="2445" w:type="dxa"/>
            <w:gridSpan w:val="3"/>
            <w:tcBorders>
              <w:top w:val="single" w:sz="8" w:space="0" w:color="auto"/>
              <w:left w:val="nil"/>
              <w:bottom w:val="single" w:sz="8" w:space="0" w:color="auto"/>
              <w:right w:val="single" w:sz="8" w:space="0" w:color="000000"/>
            </w:tcBorders>
            <w:shd w:val="clear" w:color="000000" w:fill="2F75B5"/>
            <w:noWrap/>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TARGET</w:t>
            </w:r>
          </w:p>
        </w:tc>
        <w:tc>
          <w:tcPr>
            <w:tcW w:w="4873" w:type="dxa"/>
            <w:gridSpan w:val="5"/>
            <w:tcBorders>
              <w:top w:val="single" w:sz="8" w:space="0" w:color="auto"/>
              <w:left w:val="nil"/>
              <w:bottom w:val="single" w:sz="8" w:space="0" w:color="auto"/>
              <w:right w:val="single" w:sz="8" w:space="0" w:color="000000"/>
            </w:tcBorders>
            <w:shd w:val="clear" w:color="000000" w:fill="2F75B5"/>
            <w:noWrap/>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Q2 Progress</w:t>
            </w:r>
          </w:p>
        </w:tc>
      </w:tr>
      <w:tr w:rsidR="0046068C" w:rsidRPr="00631928" w:rsidTr="00E1199A">
        <w:trPr>
          <w:trHeight w:val="1342"/>
        </w:trPr>
        <w:tc>
          <w:tcPr>
            <w:tcW w:w="652" w:type="dxa"/>
            <w:vMerge/>
            <w:tcBorders>
              <w:top w:val="nil"/>
              <w:left w:val="single" w:sz="8" w:space="0" w:color="auto"/>
              <w:bottom w:val="single" w:sz="8" w:space="0" w:color="000000"/>
              <w:right w:val="single" w:sz="8" w:space="0" w:color="auto"/>
            </w:tcBorders>
            <w:vAlign w:val="center"/>
            <w:hideMark/>
          </w:tcPr>
          <w:p w:rsidR="0046068C" w:rsidRPr="00631928" w:rsidRDefault="0046068C" w:rsidP="00E1199A">
            <w:pPr>
              <w:spacing w:after="0" w:line="240" w:lineRule="auto"/>
              <w:rPr>
                <w:rFonts w:ascii="Calibri" w:eastAsia="Times New Roman" w:hAnsi="Calibri" w:cs="Times New Roman"/>
                <w:b/>
                <w:bCs/>
                <w:color w:val="DDEBF7"/>
                <w:lang w:eastAsia="en-ZA"/>
              </w:rPr>
            </w:pPr>
          </w:p>
        </w:tc>
        <w:tc>
          <w:tcPr>
            <w:tcW w:w="793" w:type="dxa"/>
            <w:tcBorders>
              <w:top w:val="nil"/>
              <w:left w:val="single" w:sz="8" w:space="0" w:color="auto"/>
              <w:bottom w:val="single" w:sz="8" w:space="0" w:color="auto"/>
              <w:right w:val="nil"/>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No. of Learners in Need</w:t>
            </w:r>
          </w:p>
        </w:tc>
        <w:tc>
          <w:tcPr>
            <w:tcW w:w="725" w:type="dxa"/>
            <w:tcBorders>
              <w:top w:val="nil"/>
              <w:left w:val="single" w:sz="4" w:space="0" w:color="auto"/>
              <w:bottom w:val="single" w:sz="8" w:space="0" w:color="auto"/>
              <w:right w:val="single" w:sz="8" w:space="0" w:color="auto"/>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No. of Schools in Need</w:t>
            </w:r>
          </w:p>
        </w:tc>
        <w:tc>
          <w:tcPr>
            <w:tcW w:w="815" w:type="dxa"/>
            <w:tcBorders>
              <w:top w:val="nil"/>
              <w:left w:val="nil"/>
              <w:bottom w:val="single" w:sz="8" w:space="0" w:color="auto"/>
              <w:right w:val="single" w:sz="8" w:space="0" w:color="auto"/>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No. of Learners Targeted</w:t>
            </w:r>
          </w:p>
        </w:tc>
        <w:tc>
          <w:tcPr>
            <w:tcW w:w="815" w:type="dxa"/>
            <w:tcBorders>
              <w:top w:val="nil"/>
              <w:left w:val="nil"/>
              <w:bottom w:val="single" w:sz="8" w:space="0" w:color="auto"/>
              <w:right w:val="nil"/>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No. of Schools Targeted</w:t>
            </w:r>
          </w:p>
        </w:tc>
        <w:tc>
          <w:tcPr>
            <w:tcW w:w="815" w:type="dxa"/>
            <w:tcBorders>
              <w:top w:val="nil"/>
              <w:left w:val="single" w:sz="8" w:space="0" w:color="auto"/>
              <w:bottom w:val="single" w:sz="8" w:space="0" w:color="auto"/>
              <w:right w:val="single" w:sz="8" w:space="0" w:color="auto"/>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 of Learners Targeted</w:t>
            </w:r>
          </w:p>
        </w:tc>
        <w:tc>
          <w:tcPr>
            <w:tcW w:w="1040" w:type="dxa"/>
            <w:tcBorders>
              <w:top w:val="nil"/>
              <w:left w:val="nil"/>
              <w:bottom w:val="single" w:sz="8" w:space="0" w:color="auto"/>
              <w:right w:val="nil"/>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No. of Learners Transported in Q1</w:t>
            </w:r>
          </w:p>
        </w:tc>
        <w:tc>
          <w:tcPr>
            <w:tcW w:w="1040" w:type="dxa"/>
            <w:tcBorders>
              <w:top w:val="nil"/>
              <w:left w:val="single" w:sz="8" w:space="0" w:color="auto"/>
              <w:bottom w:val="single" w:sz="8" w:space="0" w:color="auto"/>
              <w:right w:val="nil"/>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No. of Learners Transported in Q2</w:t>
            </w:r>
          </w:p>
        </w:tc>
        <w:tc>
          <w:tcPr>
            <w:tcW w:w="725" w:type="dxa"/>
            <w:tcBorders>
              <w:top w:val="nil"/>
              <w:left w:val="single" w:sz="8" w:space="0" w:color="auto"/>
              <w:bottom w:val="single" w:sz="8" w:space="0" w:color="auto"/>
              <w:right w:val="single" w:sz="8" w:space="0" w:color="auto"/>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No. of Schools</w:t>
            </w:r>
          </w:p>
        </w:tc>
        <w:tc>
          <w:tcPr>
            <w:tcW w:w="1075" w:type="dxa"/>
            <w:tcBorders>
              <w:top w:val="nil"/>
              <w:left w:val="nil"/>
              <w:bottom w:val="nil"/>
              <w:right w:val="single" w:sz="8" w:space="0" w:color="auto"/>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 xml:space="preserve">% Learners against the Target </w:t>
            </w:r>
          </w:p>
        </w:tc>
        <w:tc>
          <w:tcPr>
            <w:tcW w:w="993" w:type="dxa"/>
            <w:tcBorders>
              <w:top w:val="nil"/>
              <w:left w:val="nil"/>
              <w:bottom w:val="single" w:sz="8" w:space="0" w:color="auto"/>
              <w:right w:val="single" w:sz="8" w:space="0" w:color="auto"/>
            </w:tcBorders>
            <w:shd w:val="clear" w:color="000000" w:fill="2F75B5"/>
            <w:vAlign w:val="center"/>
            <w:hideMark/>
          </w:tcPr>
          <w:p w:rsidR="0046068C" w:rsidRPr="00631928" w:rsidRDefault="0046068C" w:rsidP="00E1199A">
            <w:pPr>
              <w:spacing w:after="0" w:line="240" w:lineRule="auto"/>
              <w:jc w:val="center"/>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 xml:space="preserve">% Learners against the need </w:t>
            </w:r>
          </w:p>
        </w:tc>
      </w:tr>
      <w:tr w:rsidR="0046068C" w:rsidRPr="00631928" w:rsidTr="00E1199A">
        <w:trPr>
          <w:trHeight w:val="268"/>
        </w:trPr>
        <w:tc>
          <w:tcPr>
            <w:tcW w:w="652" w:type="dxa"/>
            <w:tcBorders>
              <w:top w:val="nil"/>
              <w:left w:val="single" w:sz="8" w:space="0" w:color="auto"/>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EC</w:t>
            </w:r>
          </w:p>
        </w:tc>
        <w:tc>
          <w:tcPr>
            <w:tcW w:w="793"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1482</w:t>
            </w:r>
          </w:p>
        </w:tc>
        <w:tc>
          <w:tcPr>
            <w:tcW w:w="725"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6</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1347</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6</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91%</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1169</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1419</w:t>
            </w:r>
          </w:p>
        </w:tc>
        <w:tc>
          <w:tcPr>
            <w:tcW w:w="725" w:type="dxa"/>
            <w:tcBorders>
              <w:top w:val="nil"/>
              <w:left w:val="nil"/>
              <w:bottom w:val="single" w:sz="4" w:space="0" w:color="auto"/>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6</w:t>
            </w:r>
          </w:p>
        </w:tc>
        <w:tc>
          <w:tcPr>
            <w:tcW w:w="107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105.00%</w:t>
            </w:r>
          </w:p>
        </w:tc>
        <w:tc>
          <w:tcPr>
            <w:tcW w:w="993"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96.00%</w:t>
            </w:r>
          </w:p>
        </w:tc>
      </w:tr>
      <w:tr w:rsidR="0046068C" w:rsidRPr="00631928" w:rsidTr="00E1199A">
        <w:trPr>
          <w:trHeight w:val="268"/>
        </w:trPr>
        <w:tc>
          <w:tcPr>
            <w:tcW w:w="652" w:type="dxa"/>
            <w:tcBorders>
              <w:top w:val="nil"/>
              <w:left w:val="single" w:sz="8" w:space="0" w:color="auto"/>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FS</w:t>
            </w:r>
          </w:p>
        </w:tc>
        <w:tc>
          <w:tcPr>
            <w:tcW w:w="793"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1618</w:t>
            </w:r>
          </w:p>
        </w:tc>
        <w:tc>
          <w:tcPr>
            <w:tcW w:w="725"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5</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1618</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5</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1618</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1618</w:t>
            </w:r>
          </w:p>
        </w:tc>
        <w:tc>
          <w:tcPr>
            <w:tcW w:w="725" w:type="dxa"/>
            <w:tcBorders>
              <w:top w:val="nil"/>
              <w:left w:val="nil"/>
              <w:bottom w:val="single" w:sz="4" w:space="0" w:color="auto"/>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5</w:t>
            </w:r>
          </w:p>
        </w:tc>
        <w:tc>
          <w:tcPr>
            <w:tcW w:w="1075" w:type="dxa"/>
            <w:tcBorders>
              <w:top w:val="nil"/>
              <w:left w:val="single" w:sz="4" w:space="0" w:color="auto"/>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c>
          <w:tcPr>
            <w:tcW w:w="993"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r>
      <w:tr w:rsidR="0046068C" w:rsidRPr="00631928" w:rsidTr="00E1199A">
        <w:trPr>
          <w:trHeight w:val="281"/>
        </w:trPr>
        <w:tc>
          <w:tcPr>
            <w:tcW w:w="652" w:type="dxa"/>
            <w:tcBorders>
              <w:top w:val="nil"/>
              <w:left w:val="single" w:sz="8" w:space="0" w:color="auto"/>
              <w:bottom w:val="nil"/>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GP</w:t>
            </w:r>
          </w:p>
        </w:tc>
        <w:tc>
          <w:tcPr>
            <w:tcW w:w="793"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13262</w:t>
            </w:r>
          </w:p>
        </w:tc>
        <w:tc>
          <w:tcPr>
            <w:tcW w:w="725"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39</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976</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7%</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1206</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1206</w:t>
            </w:r>
          </w:p>
        </w:tc>
        <w:tc>
          <w:tcPr>
            <w:tcW w:w="725" w:type="dxa"/>
            <w:tcBorders>
              <w:top w:val="nil"/>
              <w:left w:val="nil"/>
              <w:bottom w:val="single" w:sz="4" w:space="0" w:color="auto"/>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w:t>
            </w:r>
          </w:p>
        </w:tc>
        <w:tc>
          <w:tcPr>
            <w:tcW w:w="1075" w:type="dxa"/>
            <w:tcBorders>
              <w:top w:val="nil"/>
              <w:left w:val="single" w:sz="4" w:space="0" w:color="auto"/>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9.01%</w:t>
            </w:r>
          </w:p>
        </w:tc>
        <w:tc>
          <w:tcPr>
            <w:tcW w:w="993"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9.01%</w:t>
            </w:r>
          </w:p>
        </w:tc>
      </w:tr>
      <w:tr w:rsidR="0046068C" w:rsidRPr="00631928" w:rsidTr="00E1199A">
        <w:trPr>
          <w:trHeight w:val="295"/>
        </w:trPr>
        <w:tc>
          <w:tcPr>
            <w:tcW w:w="652"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KZN</w:t>
            </w:r>
          </w:p>
        </w:tc>
        <w:tc>
          <w:tcPr>
            <w:tcW w:w="793"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14853</w:t>
            </w:r>
          </w:p>
        </w:tc>
        <w:tc>
          <w:tcPr>
            <w:tcW w:w="72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74</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5783</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74</w:t>
            </w:r>
          </w:p>
        </w:tc>
        <w:tc>
          <w:tcPr>
            <w:tcW w:w="815" w:type="dxa"/>
            <w:tcBorders>
              <w:top w:val="nil"/>
              <w:left w:val="nil"/>
              <w:bottom w:val="single" w:sz="4" w:space="0" w:color="auto"/>
              <w:right w:val="single" w:sz="4" w:space="0" w:color="auto"/>
            </w:tcBorders>
            <w:shd w:val="clear" w:color="000000" w:fill="9BC2E6"/>
            <w:noWrap/>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39%</w:t>
            </w:r>
          </w:p>
        </w:tc>
        <w:tc>
          <w:tcPr>
            <w:tcW w:w="1040" w:type="dxa"/>
            <w:tcBorders>
              <w:top w:val="nil"/>
              <w:left w:val="nil"/>
              <w:bottom w:val="single" w:sz="4" w:space="0" w:color="auto"/>
              <w:right w:val="single" w:sz="4" w:space="0" w:color="auto"/>
            </w:tcBorders>
            <w:shd w:val="clear" w:color="000000" w:fill="9BC2E6"/>
            <w:noWrap/>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5783</w:t>
            </w:r>
          </w:p>
        </w:tc>
        <w:tc>
          <w:tcPr>
            <w:tcW w:w="1040" w:type="dxa"/>
            <w:tcBorders>
              <w:top w:val="nil"/>
              <w:left w:val="nil"/>
              <w:bottom w:val="single" w:sz="4" w:space="0" w:color="auto"/>
              <w:right w:val="single" w:sz="4" w:space="0" w:color="auto"/>
            </w:tcBorders>
            <w:shd w:val="clear" w:color="000000" w:fill="9BC2E6"/>
            <w:noWrap/>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6926</w:t>
            </w:r>
          </w:p>
        </w:tc>
        <w:tc>
          <w:tcPr>
            <w:tcW w:w="725" w:type="dxa"/>
            <w:tcBorders>
              <w:top w:val="nil"/>
              <w:left w:val="nil"/>
              <w:bottom w:val="single" w:sz="4" w:space="0" w:color="auto"/>
              <w:right w:val="nil"/>
            </w:tcBorders>
            <w:shd w:val="clear" w:color="000000" w:fill="9BC2E6"/>
            <w:noWrap/>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74</w:t>
            </w:r>
          </w:p>
        </w:tc>
        <w:tc>
          <w:tcPr>
            <w:tcW w:w="1075" w:type="dxa"/>
            <w:tcBorders>
              <w:top w:val="nil"/>
              <w:left w:val="single" w:sz="4" w:space="0" w:color="auto"/>
              <w:bottom w:val="single" w:sz="4" w:space="0" w:color="auto"/>
              <w:right w:val="single" w:sz="4" w:space="0" w:color="auto"/>
            </w:tcBorders>
            <w:shd w:val="clear" w:color="000000" w:fill="9BC2E6"/>
            <w:noWrap/>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119.76%</w:t>
            </w:r>
          </w:p>
        </w:tc>
        <w:tc>
          <w:tcPr>
            <w:tcW w:w="993" w:type="dxa"/>
            <w:tcBorders>
              <w:top w:val="nil"/>
              <w:left w:val="nil"/>
              <w:bottom w:val="single" w:sz="4" w:space="0" w:color="auto"/>
              <w:right w:val="single" w:sz="8" w:space="0" w:color="auto"/>
            </w:tcBorders>
            <w:shd w:val="clear" w:color="000000" w:fill="9BC2E6"/>
            <w:noWrap/>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46.63%</w:t>
            </w:r>
          </w:p>
        </w:tc>
      </w:tr>
      <w:tr w:rsidR="0046068C" w:rsidRPr="00631928" w:rsidTr="00E1199A">
        <w:trPr>
          <w:trHeight w:val="268"/>
        </w:trPr>
        <w:tc>
          <w:tcPr>
            <w:tcW w:w="652" w:type="dxa"/>
            <w:tcBorders>
              <w:top w:val="nil"/>
              <w:left w:val="single" w:sz="8" w:space="0" w:color="auto"/>
              <w:bottom w:val="nil"/>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LP</w:t>
            </w:r>
          </w:p>
        </w:tc>
        <w:tc>
          <w:tcPr>
            <w:tcW w:w="793"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266</w:t>
            </w:r>
          </w:p>
        </w:tc>
        <w:tc>
          <w:tcPr>
            <w:tcW w:w="725"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266</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266</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232</w:t>
            </w:r>
          </w:p>
        </w:tc>
        <w:tc>
          <w:tcPr>
            <w:tcW w:w="725" w:type="dxa"/>
            <w:tcBorders>
              <w:top w:val="nil"/>
              <w:left w:val="nil"/>
              <w:bottom w:val="single" w:sz="4" w:space="0" w:color="auto"/>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w:t>
            </w:r>
          </w:p>
        </w:tc>
        <w:tc>
          <w:tcPr>
            <w:tcW w:w="1075" w:type="dxa"/>
            <w:tcBorders>
              <w:top w:val="nil"/>
              <w:left w:val="single" w:sz="4" w:space="0" w:color="auto"/>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87.21%</w:t>
            </w:r>
          </w:p>
        </w:tc>
        <w:tc>
          <w:tcPr>
            <w:tcW w:w="993"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87.21%</w:t>
            </w:r>
          </w:p>
        </w:tc>
      </w:tr>
      <w:tr w:rsidR="0046068C" w:rsidRPr="00631928" w:rsidTr="00E1199A">
        <w:trPr>
          <w:trHeight w:val="268"/>
        </w:trPr>
        <w:tc>
          <w:tcPr>
            <w:tcW w:w="652" w:type="dxa"/>
            <w:tcBorders>
              <w:top w:val="single" w:sz="4" w:space="0" w:color="auto"/>
              <w:left w:val="single" w:sz="8" w:space="0" w:color="auto"/>
              <w:bottom w:val="nil"/>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MP</w:t>
            </w:r>
          </w:p>
        </w:tc>
        <w:tc>
          <w:tcPr>
            <w:tcW w:w="793"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800</w:t>
            </w:r>
          </w:p>
        </w:tc>
        <w:tc>
          <w:tcPr>
            <w:tcW w:w="725"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800</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800</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800</w:t>
            </w:r>
          </w:p>
        </w:tc>
        <w:tc>
          <w:tcPr>
            <w:tcW w:w="725" w:type="dxa"/>
            <w:tcBorders>
              <w:top w:val="nil"/>
              <w:left w:val="nil"/>
              <w:bottom w:val="single" w:sz="4" w:space="0" w:color="auto"/>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w:t>
            </w:r>
          </w:p>
        </w:tc>
        <w:tc>
          <w:tcPr>
            <w:tcW w:w="1075" w:type="dxa"/>
            <w:tcBorders>
              <w:top w:val="nil"/>
              <w:left w:val="single" w:sz="4" w:space="0" w:color="auto"/>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c>
          <w:tcPr>
            <w:tcW w:w="993"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r>
      <w:tr w:rsidR="0046068C" w:rsidRPr="00631928" w:rsidTr="00E1199A">
        <w:trPr>
          <w:trHeight w:val="268"/>
        </w:trPr>
        <w:tc>
          <w:tcPr>
            <w:tcW w:w="652" w:type="dxa"/>
            <w:tcBorders>
              <w:top w:val="single" w:sz="4" w:space="0" w:color="auto"/>
              <w:left w:val="single" w:sz="8" w:space="0" w:color="auto"/>
              <w:bottom w:val="nil"/>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NW</w:t>
            </w:r>
          </w:p>
        </w:tc>
        <w:tc>
          <w:tcPr>
            <w:tcW w:w="793"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13</w:t>
            </w:r>
          </w:p>
        </w:tc>
        <w:tc>
          <w:tcPr>
            <w:tcW w:w="725"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13</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13</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13</w:t>
            </w:r>
          </w:p>
        </w:tc>
        <w:tc>
          <w:tcPr>
            <w:tcW w:w="725" w:type="dxa"/>
            <w:tcBorders>
              <w:top w:val="nil"/>
              <w:left w:val="nil"/>
              <w:bottom w:val="single" w:sz="4" w:space="0" w:color="auto"/>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w:t>
            </w:r>
          </w:p>
        </w:tc>
        <w:tc>
          <w:tcPr>
            <w:tcW w:w="1075" w:type="dxa"/>
            <w:tcBorders>
              <w:top w:val="nil"/>
              <w:left w:val="single" w:sz="4" w:space="0" w:color="auto"/>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c>
          <w:tcPr>
            <w:tcW w:w="993"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r>
      <w:tr w:rsidR="0046068C" w:rsidRPr="00631928" w:rsidTr="00E1199A">
        <w:trPr>
          <w:trHeight w:val="268"/>
        </w:trPr>
        <w:tc>
          <w:tcPr>
            <w:tcW w:w="652" w:type="dxa"/>
            <w:tcBorders>
              <w:top w:val="single" w:sz="4" w:space="0" w:color="auto"/>
              <w:left w:val="single" w:sz="8" w:space="0" w:color="auto"/>
              <w:bottom w:val="nil"/>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NC</w:t>
            </w:r>
          </w:p>
        </w:tc>
        <w:tc>
          <w:tcPr>
            <w:tcW w:w="793" w:type="dxa"/>
            <w:tcBorders>
              <w:top w:val="nil"/>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139</w:t>
            </w:r>
          </w:p>
        </w:tc>
        <w:tc>
          <w:tcPr>
            <w:tcW w:w="725" w:type="dxa"/>
            <w:tcBorders>
              <w:top w:val="nil"/>
              <w:left w:val="nil"/>
              <w:bottom w:val="nil"/>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w:t>
            </w:r>
          </w:p>
        </w:tc>
        <w:tc>
          <w:tcPr>
            <w:tcW w:w="815" w:type="dxa"/>
            <w:tcBorders>
              <w:top w:val="nil"/>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139</w:t>
            </w:r>
          </w:p>
        </w:tc>
        <w:tc>
          <w:tcPr>
            <w:tcW w:w="815" w:type="dxa"/>
            <w:tcBorders>
              <w:top w:val="nil"/>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w:t>
            </w:r>
          </w:p>
        </w:tc>
        <w:tc>
          <w:tcPr>
            <w:tcW w:w="815"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100</w:t>
            </w:r>
          </w:p>
        </w:tc>
        <w:tc>
          <w:tcPr>
            <w:tcW w:w="1040" w:type="dxa"/>
            <w:tcBorders>
              <w:top w:val="nil"/>
              <w:left w:val="nil"/>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102</w:t>
            </w:r>
          </w:p>
        </w:tc>
        <w:tc>
          <w:tcPr>
            <w:tcW w:w="725" w:type="dxa"/>
            <w:tcBorders>
              <w:top w:val="nil"/>
              <w:left w:val="nil"/>
              <w:bottom w:val="single" w:sz="4" w:space="0" w:color="auto"/>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2</w:t>
            </w:r>
          </w:p>
        </w:tc>
        <w:tc>
          <w:tcPr>
            <w:tcW w:w="1075" w:type="dxa"/>
            <w:tcBorders>
              <w:top w:val="nil"/>
              <w:left w:val="single" w:sz="4" w:space="0" w:color="auto"/>
              <w:bottom w:val="single" w:sz="4" w:space="0" w:color="auto"/>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73.38%</w:t>
            </w:r>
          </w:p>
        </w:tc>
        <w:tc>
          <w:tcPr>
            <w:tcW w:w="993" w:type="dxa"/>
            <w:tcBorders>
              <w:top w:val="nil"/>
              <w:left w:val="nil"/>
              <w:bottom w:val="single" w:sz="4" w:space="0" w:color="auto"/>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73.38%</w:t>
            </w:r>
          </w:p>
        </w:tc>
      </w:tr>
      <w:tr w:rsidR="0046068C" w:rsidRPr="00631928" w:rsidTr="00E1199A">
        <w:trPr>
          <w:trHeight w:val="281"/>
        </w:trPr>
        <w:tc>
          <w:tcPr>
            <w:tcW w:w="652" w:type="dxa"/>
            <w:tcBorders>
              <w:top w:val="single" w:sz="4" w:space="0" w:color="auto"/>
              <w:left w:val="single" w:sz="8" w:space="0" w:color="auto"/>
              <w:bottom w:val="nil"/>
              <w:right w:val="single" w:sz="8" w:space="0" w:color="auto"/>
            </w:tcBorders>
            <w:shd w:val="clear" w:color="000000" w:fill="9BC2E6"/>
            <w:noWrap/>
            <w:vAlign w:val="bottom"/>
            <w:hideMark/>
          </w:tcPr>
          <w:p w:rsidR="0046068C" w:rsidRPr="00631928" w:rsidRDefault="0046068C" w:rsidP="00E1199A">
            <w:pPr>
              <w:spacing w:after="0" w:line="240" w:lineRule="auto"/>
              <w:rPr>
                <w:rFonts w:ascii="Calibri" w:eastAsia="Times New Roman" w:hAnsi="Calibri" w:cs="Times New Roman"/>
                <w:b/>
                <w:bCs/>
                <w:color w:val="000000"/>
                <w:lang w:eastAsia="en-ZA"/>
              </w:rPr>
            </w:pPr>
            <w:r w:rsidRPr="00631928">
              <w:rPr>
                <w:rFonts w:ascii="Calibri" w:eastAsia="Times New Roman" w:hAnsi="Calibri" w:cs="Times New Roman"/>
                <w:b/>
                <w:bCs/>
                <w:color w:val="000000"/>
                <w:lang w:eastAsia="en-ZA"/>
              </w:rPr>
              <w:t>WC</w:t>
            </w:r>
          </w:p>
        </w:tc>
        <w:tc>
          <w:tcPr>
            <w:tcW w:w="793" w:type="dxa"/>
            <w:tcBorders>
              <w:top w:val="single" w:sz="4" w:space="0" w:color="auto"/>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8991</w:t>
            </w:r>
          </w:p>
        </w:tc>
        <w:tc>
          <w:tcPr>
            <w:tcW w:w="725" w:type="dxa"/>
            <w:tcBorders>
              <w:top w:val="single" w:sz="4" w:space="0" w:color="auto"/>
              <w:left w:val="nil"/>
              <w:bottom w:val="nil"/>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48</w:t>
            </w:r>
          </w:p>
        </w:tc>
        <w:tc>
          <w:tcPr>
            <w:tcW w:w="815" w:type="dxa"/>
            <w:tcBorders>
              <w:top w:val="single" w:sz="4" w:space="0" w:color="auto"/>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8991</w:t>
            </w:r>
          </w:p>
        </w:tc>
        <w:tc>
          <w:tcPr>
            <w:tcW w:w="815" w:type="dxa"/>
            <w:tcBorders>
              <w:top w:val="single" w:sz="4" w:space="0" w:color="auto"/>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48</w:t>
            </w:r>
          </w:p>
        </w:tc>
        <w:tc>
          <w:tcPr>
            <w:tcW w:w="815" w:type="dxa"/>
            <w:tcBorders>
              <w:top w:val="nil"/>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w:t>
            </w:r>
          </w:p>
        </w:tc>
        <w:tc>
          <w:tcPr>
            <w:tcW w:w="1040" w:type="dxa"/>
            <w:tcBorders>
              <w:top w:val="nil"/>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8991</w:t>
            </w:r>
          </w:p>
        </w:tc>
        <w:tc>
          <w:tcPr>
            <w:tcW w:w="1040" w:type="dxa"/>
            <w:tcBorders>
              <w:top w:val="nil"/>
              <w:left w:val="nil"/>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lang w:eastAsia="en-ZA"/>
              </w:rPr>
            </w:pPr>
            <w:r w:rsidRPr="00631928">
              <w:rPr>
                <w:rFonts w:ascii="Calibri" w:eastAsia="Times New Roman" w:hAnsi="Calibri" w:cs="Times New Roman"/>
                <w:lang w:eastAsia="en-ZA"/>
              </w:rPr>
              <w:t>8991</w:t>
            </w:r>
          </w:p>
        </w:tc>
        <w:tc>
          <w:tcPr>
            <w:tcW w:w="725" w:type="dxa"/>
            <w:tcBorders>
              <w:top w:val="nil"/>
              <w:left w:val="nil"/>
              <w:bottom w:val="nil"/>
              <w:right w:val="nil"/>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48</w:t>
            </w:r>
          </w:p>
        </w:tc>
        <w:tc>
          <w:tcPr>
            <w:tcW w:w="1075" w:type="dxa"/>
            <w:tcBorders>
              <w:top w:val="nil"/>
              <w:left w:val="single" w:sz="4" w:space="0" w:color="auto"/>
              <w:bottom w:val="nil"/>
              <w:right w:val="single" w:sz="4"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c>
          <w:tcPr>
            <w:tcW w:w="993" w:type="dxa"/>
            <w:tcBorders>
              <w:top w:val="nil"/>
              <w:left w:val="nil"/>
              <w:bottom w:val="nil"/>
              <w:right w:val="single" w:sz="8" w:space="0" w:color="auto"/>
            </w:tcBorders>
            <w:shd w:val="clear" w:color="000000" w:fill="9BC2E6"/>
            <w:noWrap/>
            <w:vAlign w:val="bottom"/>
            <w:hideMark/>
          </w:tcPr>
          <w:p w:rsidR="0046068C" w:rsidRPr="00631928" w:rsidRDefault="0046068C" w:rsidP="00E1199A">
            <w:pPr>
              <w:spacing w:after="0" w:line="240" w:lineRule="auto"/>
              <w:jc w:val="right"/>
              <w:rPr>
                <w:rFonts w:ascii="Calibri" w:eastAsia="Times New Roman" w:hAnsi="Calibri" w:cs="Times New Roman"/>
                <w:color w:val="000000"/>
                <w:lang w:eastAsia="en-ZA"/>
              </w:rPr>
            </w:pPr>
            <w:r w:rsidRPr="00631928">
              <w:rPr>
                <w:rFonts w:ascii="Calibri" w:eastAsia="Times New Roman" w:hAnsi="Calibri" w:cs="Times New Roman"/>
                <w:color w:val="000000"/>
                <w:lang w:eastAsia="en-ZA"/>
              </w:rPr>
              <w:t>100.00%</w:t>
            </w:r>
          </w:p>
        </w:tc>
      </w:tr>
      <w:tr w:rsidR="0046068C" w:rsidRPr="00631928" w:rsidTr="00E1199A">
        <w:trPr>
          <w:trHeight w:val="281"/>
        </w:trPr>
        <w:tc>
          <w:tcPr>
            <w:tcW w:w="652" w:type="dxa"/>
            <w:tcBorders>
              <w:top w:val="single" w:sz="8" w:space="0" w:color="auto"/>
              <w:left w:val="single" w:sz="8" w:space="0" w:color="auto"/>
              <w:bottom w:val="single" w:sz="8" w:space="0" w:color="auto"/>
              <w:right w:val="single" w:sz="8" w:space="0" w:color="auto"/>
            </w:tcBorders>
            <w:shd w:val="clear" w:color="000000" w:fill="2F75B5"/>
            <w:noWrap/>
            <w:vAlign w:val="bottom"/>
            <w:hideMark/>
          </w:tcPr>
          <w:p w:rsidR="0046068C" w:rsidRPr="00631928" w:rsidRDefault="0046068C" w:rsidP="00E1199A">
            <w:pPr>
              <w:spacing w:after="0" w:line="240" w:lineRule="auto"/>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TOTAL</w:t>
            </w:r>
          </w:p>
        </w:tc>
        <w:tc>
          <w:tcPr>
            <w:tcW w:w="793" w:type="dxa"/>
            <w:tcBorders>
              <w:top w:val="single" w:sz="8" w:space="0" w:color="auto"/>
              <w:left w:val="nil"/>
              <w:bottom w:val="single" w:sz="8" w:space="0" w:color="auto"/>
              <w:right w:val="single" w:sz="8" w:space="0" w:color="auto"/>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41424</w:t>
            </w:r>
          </w:p>
        </w:tc>
        <w:tc>
          <w:tcPr>
            <w:tcW w:w="725" w:type="dxa"/>
            <w:tcBorders>
              <w:top w:val="single" w:sz="8" w:space="0" w:color="auto"/>
              <w:left w:val="nil"/>
              <w:bottom w:val="single" w:sz="8" w:space="0" w:color="auto"/>
              <w:right w:val="single" w:sz="8" w:space="0" w:color="auto"/>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181</w:t>
            </w:r>
          </w:p>
        </w:tc>
        <w:tc>
          <w:tcPr>
            <w:tcW w:w="815" w:type="dxa"/>
            <w:tcBorders>
              <w:top w:val="single" w:sz="8" w:space="0" w:color="auto"/>
              <w:left w:val="nil"/>
              <w:bottom w:val="single" w:sz="8" w:space="0" w:color="auto"/>
              <w:right w:val="single" w:sz="8" w:space="0" w:color="auto"/>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19933</w:t>
            </w:r>
          </w:p>
        </w:tc>
        <w:tc>
          <w:tcPr>
            <w:tcW w:w="815" w:type="dxa"/>
            <w:tcBorders>
              <w:top w:val="single" w:sz="8" w:space="0" w:color="auto"/>
              <w:left w:val="nil"/>
              <w:bottom w:val="single" w:sz="8" w:space="0" w:color="auto"/>
              <w:right w:val="single" w:sz="8" w:space="0" w:color="auto"/>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146</w:t>
            </w:r>
          </w:p>
        </w:tc>
        <w:tc>
          <w:tcPr>
            <w:tcW w:w="815" w:type="dxa"/>
            <w:tcBorders>
              <w:top w:val="single" w:sz="8" w:space="0" w:color="auto"/>
              <w:left w:val="nil"/>
              <w:bottom w:val="single" w:sz="8" w:space="0" w:color="auto"/>
              <w:right w:val="single" w:sz="8" w:space="0" w:color="auto"/>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48%</w:t>
            </w:r>
          </w:p>
        </w:tc>
        <w:tc>
          <w:tcPr>
            <w:tcW w:w="1040" w:type="dxa"/>
            <w:tcBorders>
              <w:top w:val="single" w:sz="8" w:space="0" w:color="auto"/>
              <w:left w:val="nil"/>
              <w:bottom w:val="single" w:sz="8" w:space="0" w:color="auto"/>
              <w:right w:val="nil"/>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19946</w:t>
            </w:r>
          </w:p>
        </w:tc>
        <w:tc>
          <w:tcPr>
            <w:tcW w:w="1040" w:type="dxa"/>
            <w:tcBorders>
              <w:top w:val="single" w:sz="8" w:space="0" w:color="auto"/>
              <w:left w:val="single" w:sz="8" w:space="0" w:color="auto"/>
              <w:bottom w:val="single" w:sz="8" w:space="0" w:color="auto"/>
              <w:right w:val="nil"/>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21307</w:t>
            </w:r>
          </w:p>
        </w:tc>
        <w:tc>
          <w:tcPr>
            <w:tcW w:w="725" w:type="dxa"/>
            <w:tcBorders>
              <w:top w:val="single" w:sz="8" w:space="0" w:color="auto"/>
              <w:left w:val="single" w:sz="8" w:space="0" w:color="auto"/>
              <w:bottom w:val="single" w:sz="8" w:space="0" w:color="auto"/>
              <w:right w:val="nil"/>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146</w:t>
            </w:r>
          </w:p>
        </w:tc>
        <w:tc>
          <w:tcPr>
            <w:tcW w:w="1075" w:type="dxa"/>
            <w:tcBorders>
              <w:top w:val="single" w:sz="8" w:space="0" w:color="auto"/>
              <w:left w:val="single" w:sz="4" w:space="0" w:color="auto"/>
              <w:bottom w:val="single" w:sz="8" w:space="0" w:color="auto"/>
              <w:right w:val="single" w:sz="4" w:space="0" w:color="auto"/>
            </w:tcBorders>
            <w:shd w:val="clear" w:color="000000" w:fill="2F75B5"/>
            <w:noWrap/>
            <w:vAlign w:val="bottom"/>
            <w:hideMark/>
          </w:tcPr>
          <w:p w:rsidR="0046068C" w:rsidRPr="00631928" w:rsidRDefault="0046068C" w:rsidP="00E1199A">
            <w:pPr>
              <w:spacing w:after="0" w:line="240" w:lineRule="auto"/>
              <w:rPr>
                <w:rFonts w:ascii="Calibri" w:eastAsia="Times New Roman" w:hAnsi="Calibri" w:cs="Times New Roman"/>
                <w:b/>
                <w:bCs/>
                <w:color w:val="DDEBF7"/>
                <w:lang w:eastAsia="en-ZA"/>
              </w:rPr>
            </w:pPr>
            <w:r>
              <w:rPr>
                <w:rFonts w:ascii="Calibri" w:eastAsia="Times New Roman" w:hAnsi="Calibri" w:cs="Times New Roman"/>
                <w:b/>
                <w:bCs/>
                <w:color w:val="DDEBF7"/>
                <w:lang w:eastAsia="en-ZA"/>
              </w:rPr>
              <w:t xml:space="preserve">      </w:t>
            </w:r>
            <w:r w:rsidRPr="00631928">
              <w:rPr>
                <w:rFonts w:ascii="Calibri" w:eastAsia="Times New Roman" w:hAnsi="Calibri" w:cs="Times New Roman"/>
                <w:b/>
                <w:bCs/>
                <w:color w:val="DDEBF7"/>
                <w:lang w:eastAsia="en-ZA"/>
              </w:rPr>
              <w:t>106.89%</w:t>
            </w:r>
          </w:p>
        </w:tc>
        <w:tc>
          <w:tcPr>
            <w:tcW w:w="993" w:type="dxa"/>
            <w:tcBorders>
              <w:top w:val="single" w:sz="8" w:space="0" w:color="auto"/>
              <w:left w:val="nil"/>
              <w:bottom w:val="single" w:sz="8" w:space="0" w:color="auto"/>
              <w:right w:val="single" w:sz="8" w:space="0" w:color="auto"/>
            </w:tcBorders>
            <w:shd w:val="clear" w:color="000000" w:fill="2F75B5"/>
            <w:noWrap/>
            <w:vAlign w:val="bottom"/>
            <w:hideMark/>
          </w:tcPr>
          <w:p w:rsidR="0046068C" w:rsidRPr="00631928" w:rsidRDefault="0046068C" w:rsidP="00E1199A">
            <w:pPr>
              <w:spacing w:after="0" w:line="240" w:lineRule="auto"/>
              <w:jc w:val="right"/>
              <w:rPr>
                <w:rFonts w:ascii="Calibri" w:eastAsia="Times New Roman" w:hAnsi="Calibri" w:cs="Times New Roman"/>
                <w:b/>
                <w:bCs/>
                <w:color w:val="DDEBF7"/>
                <w:lang w:eastAsia="en-ZA"/>
              </w:rPr>
            </w:pPr>
            <w:r w:rsidRPr="00631928">
              <w:rPr>
                <w:rFonts w:ascii="Calibri" w:eastAsia="Times New Roman" w:hAnsi="Calibri" w:cs="Times New Roman"/>
                <w:b/>
                <w:bCs/>
                <w:color w:val="DDEBF7"/>
                <w:lang w:eastAsia="en-ZA"/>
              </w:rPr>
              <w:t>51.43%</w:t>
            </w:r>
          </w:p>
        </w:tc>
      </w:tr>
    </w:tbl>
    <w:p w:rsidR="006D7B63" w:rsidRPr="00614745" w:rsidRDefault="00614745">
      <w:pPr>
        <w:rPr>
          <w:rFonts w:ascii="Times New Roman" w:hAnsi="Times New Roman" w:cs="Times New Roman"/>
          <w:b/>
          <w:i/>
        </w:rPr>
      </w:pPr>
      <w:r w:rsidRPr="00614745">
        <w:rPr>
          <w:rFonts w:ascii="Times New Roman" w:hAnsi="Times New Roman" w:cs="Times New Roman"/>
          <w:b/>
          <w:i/>
        </w:rPr>
        <w:t xml:space="preserve">Source: Quarterly Report from Provincial Education Departments and Transport. </w:t>
      </w:r>
    </w:p>
    <w:p w:rsidR="00767523" w:rsidRDefault="00767523">
      <w:pPr>
        <w:rPr>
          <w:rFonts w:ascii="Times New Roman" w:hAnsi="Times New Roman" w:cs="Times New Roman"/>
        </w:rPr>
      </w:pPr>
    </w:p>
    <w:p w:rsidR="00767523" w:rsidRDefault="00767523">
      <w:pPr>
        <w:rPr>
          <w:rFonts w:ascii="Times New Roman" w:hAnsi="Times New Roman" w:cs="Times New Roman"/>
        </w:rPr>
      </w:pPr>
    </w:p>
    <w:p w:rsidR="00767523" w:rsidRDefault="00767523">
      <w:pPr>
        <w:rPr>
          <w:rFonts w:ascii="Times New Roman" w:hAnsi="Times New Roman" w:cs="Times New Roman"/>
        </w:rPr>
      </w:pPr>
    </w:p>
    <w:p w:rsidR="00767523" w:rsidRDefault="00767523">
      <w:pPr>
        <w:rPr>
          <w:rFonts w:ascii="Times New Roman" w:hAnsi="Times New Roman" w:cs="Times New Roman"/>
        </w:rPr>
      </w:pPr>
    </w:p>
    <w:p w:rsidR="00767523" w:rsidRDefault="00767523">
      <w:pPr>
        <w:rPr>
          <w:rFonts w:ascii="Times New Roman" w:hAnsi="Times New Roman" w:cs="Times New Roman"/>
        </w:rPr>
      </w:pPr>
    </w:p>
    <w:p w:rsidR="00767523" w:rsidRDefault="00767523">
      <w:pPr>
        <w:rPr>
          <w:rFonts w:ascii="Times New Roman" w:hAnsi="Times New Roman" w:cs="Times New Roman"/>
        </w:rPr>
      </w:pPr>
    </w:p>
    <w:p w:rsidR="00767523" w:rsidRDefault="00767523">
      <w:pPr>
        <w:rPr>
          <w:rFonts w:ascii="Times New Roman" w:hAnsi="Times New Roman" w:cs="Times New Roman"/>
        </w:rPr>
      </w:pPr>
    </w:p>
    <w:p w:rsidR="00767523" w:rsidRDefault="00767523">
      <w:pPr>
        <w:rPr>
          <w:rFonts w:ascii="Times New Roman" w:hAnsi="Times New Roman" w:cs="Times New Roman"/>
        </w:rPr>
      </w:pPr>
    </w:p>
    <w:p w:rsidR="0046068C" w:rsidRDefault="0046068C">
      <w:pPr>
        <w:rPr>
          <w:rFonts w:ascii="Times New Roman" w:hAnsi="Times New Roman" w:cs="Times New Roman"/>
        </w:rPr>
      </w:pPr>
    </w:p>
    <w:p w:rsidR="0046068C" w:rsidRDefault="0046068C">
      <w:pPr>
        <w:rPr>
          <w:rFonts w:ascii="Times New Roman" w:hAnsi="Times New Roman" w:cs="Times New Roman"/>
        </w:rPr>
      </w:pPr>
    </w:p>
    <w:p w:rsidR="0046068C" w:rsidRDefault="0046068C">
      <w:pPr>
        <w:rPr>
          <w:rFonts w:ascii="Times New Roman" w:hAnsi="Times New Roman" w:cs="Times New Roman"/>
        </w:rPr>
      </w:pPr>
      <w:bookmarkStart w:id="0" w:name="_GoBack"/>
      <w:bookmarkEnd w:id="0"/>
    </w:p>
    <w:sectPr w:rsidR="00460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F2842"/>
    <w:multiLevelType w:val="hybridMultilevel"/>
    <w:tmpl w:val="DD5804B0"/>
    <w:lvl w:ilvl="0" w:tplc="00E47938">
      <w:start w:val="1"/>
      <w:numFmt w:val="decimal"/>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34870"/>
    <w:rsid w:val="000403AE"/>
    <w:rsid w:val="000410AA"/>
    <w:rsid w:val="0005396A"/>
    <w:rsid w:val="00064C38"/>
    <w:rsid w:val="000751C3"/>
    <w:rsid w:val="00075575"/>
    <w:rsid w:val="000A2AAC"/>
    <w:rsid w:val="000B68AD"/>
    <w:rsid w:val="000C6DB7"/>
    <w:rsid w:val="000D4D43"/>
    <w:rsid w:val="001034EB"/>
    <w:rsid w:val="001363D0"/>
    <w:rsid w:val="001415B1"/>
    <w:rsid w:val="00170990"/>
    <w:rsid w:val="00171447"/>
    <w:rsid w:val="00183BCF"/>
    <w:rsid w:val="00192884"/>
    <w:rsid w:val="00197B6F"/>
    <w:rsid w:val="001D0AE9"/>
    <w:rsid w:val="0020126E"/>
    <w:rsid w:val="00216146"/>
    <w:rsid w:val="00226801"/>
    <w:rsid w:val="00236728"/>
    <w:rsid w:val="00240B13"/>
    <w:rsid w:val="0027063B"/>
    <w:rsid w:val="002A6821"/>
    <w:rsid w:val="002C32A6"/>
    <w:rsid w:val="002D1513"/>
    <w:rsid w:val="002E49AF"/>
    <w:rsid w:val="00310F5F"/>
    <w:rsid w:val="003273D9"/>
    <w:rsid w:val="0033504C"/>
    <w:rsid w:val="00341226"/>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068C"/>
    <w:rsid w:val="00463389"/>
    <w:rsid w:val="004A2F02"/>
    <w:rsid w:val="004B34AC"/>
    <w:rsid w:val="004B6FE5"/>
    <w:rsid w:val="004C0819"/>
    <w:rsid w:val="004E39FB"/>
    <w:rsid w:val="005676F7"/>
    <w:rsid w:val="00570560"/>
    <w:rsid w:val="005827AF"/>
    <w:rsid w:val="00584726"/>
    <w:rsid w:val="0059663A"/>
    <w:rsid w:val="005B389D"/>
    <w:rsid w:val="005C4AB6"/>
    <w:rsid w:val="005D1A4C"/>
    <w:rsid w:val="00607436"/>
    <w:rsid w:val="00613631"/>
    <w:rsid w:val="00614745"/>
    <w:rsid w:val="00615A3B"/>
    <w:rsid w:val="00615E24"/>
    <w:rsid w:val="00662999"/>
    <w:rsid w:val="00666324"/>
    <w:rsid w:val="00667A76"/>
    <w:rsid w:val="00686BA0"/>
    <w:rsid w:val="00692B11"/>
    <w:rsid w:val="006C1F10"/>
    <w:rsid w:val="006D7B63"/>
    <w:rsid w:val="006F297B"/>
    <w:rsid w:val="00710D44"/>
    <w:rsid w:val="00720CC4"/>
    <w:rsid w:val="00735204"/>
    <w:rsid w:val="00767523"/>
    <w:rsid w:val="007A4190"/>
    <w:rsid w:val="007D1613"/>
    <w:rsid w:val="007D5B29"/>
    <w:rsid w:val="007E7A47"/>
    <w:rsid w:val="007F25CB"/>
    <w:rsid w:val="008015CE"/>
    <w:rsid w:val="008224B8"/>
    <w:rsid w:val="008304D9"/>
    <w:rsid w:val="00830D56"/>
    <w:rsid w:val="00830FC7"/>
    <w:rsid w:val="008527DE"/>
    <w:rsid w:val="00857A1D"/>
    <w:rsid w:val="00890868"/>
    <w:rsid w:val="008E742B"/>
    <w:rsid w:val="009132A2"/>
    <w:rsid w:val="009428E0"/>
    <w:rsid w:val="009434F5"/>
    <w:rsid w:val="00943B4A"/>
    <w:rsid w:val="009524A0"/>
    <w:rsid w:val="009564A8"/>
    <w:rsid w:val="00975403"/>
    <w:rsid w:val="00996F09"/>
    <w:rsid w:val="009B6115"/>
    <w:rsid w:val="009C2773"/>
    <w:rsid w:val="009D302C"/>
    <w:rsid w:val="009E21AC"/>
    <w:rsid w:val="009F03E8"/>
    <w:rsid w:val="00A12F72"/>
    <w:rsid w:val="00A20079"/>
    <w:rsid w:val="00A451EB"/>
    <w:rsid w:val="00A603D7"/>
    <w:rsid w:val="00A62005"/>
    <w:rsid w:val="00A62681"/>
    <w:rsid w:val="00A666AB"/>
    <w:rsid w:val="00A770F0"/>
    <w:rsid w:val="00A776F8"/>
    <w:rsid w:val="00A96282"/>
    <w:rsid w:val="00AA2C93"/>
    <w:rsid w:val="00AD7651"/>
    <w:rsid w:val="00AE1828"/>
    <w:rsid w:val="00B61AE4"/>
    <w:rsid w:val="00B6303F"/>
    <w:rsid w:val="00B6783D"/>
    <w:rsid w:val="00B7450E"/>
    <w:rsid w:val="00B81D4D"/>
    <w:rsid w:val="00B8303B"/>
    <w:rsid w:val="00BA70AC"/>
    <w:rsid w:val="00BB1E2C"/>
    <w:rsid w:val="00C00DC4"/>
    <w:rsid w:val="00C06F25"/>
    <w:rsid w:val="00C4444B"/>
    <w:rsid w:val="00C4497B"/>
    <w:rsid w:val="00C90C8F"/>
    <w:rsid w:val="00CB185E"/>
    <w:rsid w:val="00D13D42"/>
    <w:rsid w:val="00D31EE3"/>
    <w:rsid w:val="00D34C31"/>
    <w:rsid w:val="00D6328E"/>
    <w:rsid w:val="00D713FC"/>
    <w:rsid w:val="00D9276C"/>
    <w:rsid w:val="00D94B1F"/>
    <w:rsid w:val="00D97E99"/>
    <w:rsid w:val="00DC226B"/>
    <w:rsid w:val="00E34908"/>
    <w:rsid w:val="00E44789"/>
    <w:rsid w:val="00E67F6F"/>
    <w:rsid w:val="00EA485B"/>
    <w:rsid w:val="00EB49EA"/>
    <w:rsid w:val="00EC7F74"/>
    <w:rsid w:val="00EF5B30"/>
    <w:rsid w:val="00F11816"/>
    <w:rsid w:val="00F5012D"/>
    <w:rsid w:val="00F574BB"/>
    <w:rsid w:val="00F81DBE"/>
    <w:rsid w:val="00F92261"/>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1C3"/>
    <w:rPr>
      <w:rFonts w:ascii="Segoe UI" w:hAnsi="Segoe UI" w:cs="Segoe UI"/>
      <w:sz w:val="18"/>
      <w:szCs w:val="18"/>
    </w:rPr>
  </w:style>
  <w:style w:type="paragraph" w:styleId="ListParagraph">
    <w:name w:val="List Paragraph"/>
    <w:basedOn w:val="Normal"/>
    <w:uiPriority w:val="34"/>
    <w:qFormat/>
    <w:rsid w:val="0007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Love. Heidi</cp:lastModifiedBy>
  <cp:revision>2</cp:revision>
  <cp:lastPrinted>2019-11-01T09:51:00Z</cp:lastPrinted>
  <dcterms:created xsi:type="dcterms:W3CDTF">2019-12-09T09:49:00Z</dcterms:created>
  <dcterms:modified xsi:type="dcterms:W3CDTF">2019-12-09T09:49:00Z</dcterms:modified>
</cp:coreProperties>
</file>