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010FF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1396</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010FFF">
        <w:rPr>
          <w:rFonts w:ascii="Arial Narrow" w:eastAsia="Arial Unicode MS" w:hAnsi="Arial Narrow" w:cs="Times New Roman"/>
          <w:b/>
          <w:bCs/>
          <w:sz w:val="24"/>
          <w:szCs w:val="24"/>
          <w:bdr w:val="nil"/>
          <w:lang w:val="en-US"/>
        </w:rPr>
        <w:t>21</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010FF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14</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812181">
        <w:rPr>
          <w:rFonts w:ascii="Arial Narrow" w:eastAsia="Arial Unicode MS" w:hAnsi="Arial Narrow" w:cs="Times New Roman"/>
          <w:b/>
          <w:bCs/>
          <w:sz w:val="24"/>
          <w:szCs w:val="24"/>
          <w:bdr w:val="nil"/>
          <w:lang w:val="en-US"/>
        </w:rPr>
        <w:t>04 June 2021</w:t>
      </w: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BC2B1A"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BC2B1A">
        <w:rPr>
          <w:rFonts w:ascii="Arial Narrow" w:eastAsia="Calibri" w:hAnsi="Arial Narrow" w:cs="Times New Roman"/>
          <w:b/>
          <w:sz w:val="24"/>
          <w:szCs w:val="24"/>
          <w:lang w:val="af-ZA"/>
        </w:rPr>
        <w:t>Mr M S F de Freitas (DA) to ask the Minister of Tourism:</w:t>
      </w:r>
    </w:p>
    <w:p w:rsidR="005F2E76" w:rsidRDefault="00010FFF"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010FFF">
        <w:rPr>
          <w:rFonts w:ascii="Arial Narrow" w:eastAsia="Calibri" w:hAnsi="Arial Narrow" w:cs="Times New Roman"/>
          <w:sz w:val="24"/>
          <w:szCs w:val="24"/>
        </w:rPr>
        <w:t>(a) How are (</w:t>
      </w:r>
      <w:proofErr w:type="spellStart"/>
      <w:r w:rsidRPr="00010FFF">
        <w:rPr>
          <w:rFonts w:ascii="Arial Narrow" w:eastAsia="Calibri" w:hAnsi="Arial Narrow" w:cs="Times New Roman"/>
          <w:sz w:val="24"/>
          <w:szCs w:val="24"/>
        </w:rPr>
        <w:t>i</w:t>
      </w:r>
      <w:proofErr w:type="spellEnd"/>
      <w:r w:rsidRPr="00010FFF">
        <w:rPr>
          <w:rFonts w:ascii="Arial Narrow" w:eastAsia="Calibri" w:hAnsi="Arial Narrow" w:cs="Times New Roman"/>
          <w:sz w:val="24"/>
          <w:szCs w:val="24"/>
        </w:rPr>
        <w:t xml:space="preserve">) service providers and (ii) suppliers who </w:t>
      </w:r>
      <w:r w:rsidRPr="009145A5">
        <w:rPr>
          <w:rFonts w:ascii="Arial Narrow" w:eastAsia="Calibri" w:hAnsi="Arial Narrow" w:cs="Times New Roman"/>
          <w:b/>
          <w:sz w:val="24"/>
          <w:szCs w:val="24"/>
        </w:rPr>
        <w:t>default in the services</w:t>
      </w:r>
      <w:r w:rsidRPr="00010FFF">
        <w:rPr>
          <w:rFonts w:ascii="Arial Narrow" w:eastAsia="Calibri" w:hAnsi="Arial Narrow" w:cs="Times New Roman"/>
          <w:sz w:val="24"/>
          <w:szCs w:val="24"/>
        </w:rPr>
        <w:t xml:space="preserve"> that they render to her department dealt with, (b) what number of service providers and suppliers have defaulted in each month in the past three financial years and since 1 April 2021, (c) what are the reasons for the default in rendering the services, (d) what steps are taken to reduce the default incidences and (e) what financial losses have been incurred in each month in the past three financial years and since 1 April 2021?</w:t>
      </w:r>
      <w:r w:rsidRPr="00010FFF">
        <w:rPr>
          <w:rFonts w:ascii="Arial Narrow" w:eastAsia="Calibri" w:hAnsi="Arial Narrow" w:cs="Times New Roman"/>
          <w:sz w:val="24"/>
          <w:szCs w:val="24"/>
        </w:rPr>
        <w:tab/>
      </w:r>
      <w:r w:rsidRPr="00010FFF">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010FFF">
        <w:rPr>
          <w:rFonts w:ascii="Arial Narrow" w:eastAsia="Calibri" w:hAnsi="Arial Narrow" w:cs="Times New Roman"/>
          <w:sz w:val="24"/>
          <w:szCs w:val="24"/>
        </w:rPr>
        <w:t>NW1590E</w:t>
      </w:r>
      <w:r w:rsidR="0093143D" w:rsidRPr="0093143D">
        <w:rPr>
          <w:rFonts w:ascii="Arial Narrow" w:eastAsia="Calibri" w:hAnsi="Arial Narrow" w:cs="Times New Roman"/>
          <w:sz w:val="24"/>
          <w:szCs w:val="24"/>
        </w:rPr>
        <w:tab/>
      </w:r>
      <w:r w:rsidR="0093143D" w:rsidRPr="0093143D">
        <w:rPr>
          <w:rFonts w:ascii="Arial Narrow" w:eastAsia="Calibri" w:hAnsi="Arial Narrow" w:cs="Times New Roman"/>
          <w:sz w:val="24"/>
          <w:szCs w:val="24"/>
        </w:rPr>
        <w:tab/>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085724" w:rsidRDefault="00085724" w:rsidP="00925277">
      <w:pPr>
        <w:spacing w:after="0" w:line="360" w:lineRule="auto"/>
        <w:contextualSpacing/>
        <w:jc w:val="both"/>
        <w:rPr>
          <w:rFonts w:ascii="Arial Narrow" w:hAnsi="Arial Narrow"/>
          <w:b/>
          <w:sz w:val="24"/>
          <w:szCs w:val="24"/>
        </w:rPr>
      </w:pPr>
    </w:p>
    <w:p w:rsidR="00925277" w:rsidRDefault="00925277" w:rsidP="00925277">
      <w:pPr>
        <w:spacing w:after="0" w:line="360" w:lineRule="auto"/>
        <w:contextualSpacing/>
        <w:jc w:val="both"/>
        <w:rPr>
          <w:rFonts w:ascii="Arial Narrow" w:hAnsi="Arial Narrow"/>
          <w:b/>
          <w:sz w:val="24"/>
          <w:szCs w:val="24"/>
        </w:rPr>
      </w:pPr>
      <w:r>
        <w:rPr>
          <w:rFonts w:ascii="Arial Narrow" w:hAnsi="Arial Narrow"/>
          <w:b/>
          <w:sz w:val="24"/>
          <w:szCs w:val="24"/>
        </w:rPr>
        <w:t xml:space="preserve">Note:  This response should be read in conjunction with the response to </w:t>
      </w:r>
      <w:r w:rsidR="00B75134">
        <w:rPr>
          <w:rFonts w:ascii="Arial Narrow" w:hAnsi="Arial Narrow"/>
          <w:b/>
          <w:sz w:val="24"/>
          <w:szCs w:val="24"/>
        </w:rPr>
        <w:t>Question n</w:t>
      </w:r>
      <w:r w:rsidR="00597BF3">
        <w:rPr>
          <w:rFonts w:ascii="Arial Narrow" w:hAnsi="Arial Narrow"/>
          <w:b/>
          <w:sz w:val="24"/>
          <w:szCs w:val="24"/>
        </w:rPr>
        <w:t>o</w:t>
      </w:r>
      <w:r w:rsidR="00B75134">
        <w:rPr>
          <w:rFonts w:ascii="Arial Narrow" w:hAnsi="Arial Narrow"/>
          <w:b/>
          <w:sz w:val="24"/>
          <w:szCs w:val="24"/>
        </w:rPr>
        <w:t xml:space="preserve">: </w:t>
      </w:r>
      <w:r>
        <w:rPr>
          <w:rFonts w:ascii="Arial Narrow" w:hAnsi="Arial Narrow"/>
          <w:b/>
          <w:sz w:val="24"/>
          <w:szCs w:val="24"/>
        </w:rPr>
        <w:t>1398.</w:t>
      </w:r>
    </w:p>
    <w:p w:rsidR="000A21B3" w:rsidRPr="005543E2" w:rsidRDefault="000A21B3" w:rsidP="00925277">
      <w:pPr>
        <w:spacing w:after="0" w:line="360" w:lineRule="auto"/>
        <w:contextualSpacing/>
        <w:jc w:val="both"/>
        <w:rPr>
          <w:rFonts w:ascii="Arial Narrow" w:hAnsi="Arial Narrow"/>
          <w:sz w:val="24"/>
          <w:szCs w:val="24"/>
        </w:rPr>
      </w:pPr>
      <w:r w:rsidRPr="005543E2">
        <w:rPr>
          <w:rFonts w:ascii="Arial Narrow" w:hAnsi="Arial Narrow"/>
          <w:b/>
          <w:sz w:val="24"/>
          <w:szCs w:val="24"/>
        </w:rPr>
        <w:t>Breach of contract</w:t>
      </w:r>
      <w:r w:rsidRPr="005543E2">
        <w:rPr>
          <w:rFonts w:ascii="Arial Narrow" w:hAnsi="Arial Narrow"/>
          <w:sz w:val="24"/>
          <w:szCs w:val="24"/>
        </w:rPr>
        <w:t xml:space="preserve"> is when either of the parties did not comply with</w:t>
      </w:r>
      <w:r w:rsidR="00846470">
        <w:rPr>
          <w:rFonts w:ascii="Arial Narrow" w:hAnsi="Arial Narrow"/>
          <w:sz w:val="24"/>
          <w:szCs w:val="24"/>
        </w:rPr>
        <w:t xml:space="preserve"> any or all</w:t>
      </w:r>
      <w:r w:rsidRPr="005543E2">
        <w:rPr>
          <w:rFonts w:ascii="Arial Narrow" w:hAnsi="Arial Narrow"/>
          <w:sz w:val="24"/>
          <w:szCs w:val="24"/>
        </w:rPr>
        <w:t xml:space="preserve"> the terms of conditions</w:t>
      </w:r>
      <w:r w:rsidR="00925277">
        <w:rPr>
          <w:rFonts w:ascii="Arial Narrow" w:hAnsi="Arial Narrow"/>
          <w:sz w:val="24"/>
          <w:szCs w:val="24"/>
        </w:rPr>
        <w:t xml:space="preserve">. </w:t>
      </w:r>
      <w:r w:rsidRPr="005543E2">
        <w:rPr>
          <w:rFonts w:ascii="Arial Narrow" w:hAnsi="Arial Narrow"/>
          <w:sz w:val="24"/>
          <w:szCs w:val="24"/>
        </w:rPr>
        <w:t xml:space="preserve">Thus a notice of breach of contract is issued when the supplier defaulted on the terms and conditions.  </w:t>
      </w:r>
      <w:r w:rsidRPr="005543E2">
        <w:rPr>
          <w:rFonts w:ascii="Arial Narrow" w:hAnsi="Arial Narrow"/>
          <w:b/>
          <w:sz w:val="24"/>
          <w:szCs w:val="24"/>
        </w:rPr>
        <w:t>Breach of contract is a pre -requirement for the contractor to be declared as a defaulter (Non-compliance of contract)</w:t>
      </w:r>
      <w:r w:rsidR="00085724">
        <w:rPr>
          <w:rFonts w:ascii="Arial Narrow" w:hAnsi="Arial Narrow"/>
          <w:sz w:val="24"/>
          <w:szCs w:val="24"/>
        </w:rPr>
        <w:t xml:space="preserve"> (PFMA Regulation 16A.9.2 and T</w:t>
      </w:r>
      <w:r w:rsidRPr="005543E2">
        <w:rPr>
          <w:rFonts w:ascii="Arial Narrow" w:hAnsi="Arial Narrow"/>
          <w:sz w:val="24"/>
          <w:szCs w:val="24"/>
        </w:rPr>
        <w:t>reasury Guideli</w:t>
      </w:r>
      <w:r w:rsidR="00085724">
        <w:rPr>
          <w:rFonts w:ascii="Arial Narrow" w:hAnsi="Arial Narrow"/>
          <w:sz w:val="24"/>
          <w:szCs w:val="24"/>
        </w:rPr>
        <w:t>nes – (Government Procurement – G</w:t>
      </w:r>
      <w:r w:rsidRPr="005543E2">
        <w:rPr>
          <w:rFonts w:ascii="Arial Narrow" w:hAnsi="Arial Narrow"/>
          <w:sz w:val="24"/>
          <w:szCs w:val="24"/>
        </w:rPr>
        <w:t>eneral conditions of Contract – Annexure A)</w:t>
      </w:r>
    </w:p>
    <w:p w:rsidR="000A21B3" w:rsidRDefault="000A21B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93143D" w:rsidRPr="00EC3B76" w:rsidRDefault="00010FFF" w:rsidP="0093143D">
      <w:pPr>
        <w:pStyle w:val="ListParagraph"/>
        <w:numPr>
          <w:ilvl w:val="0"/>
          <w:numId w:val="40"/>
        </w:numPr>
        <w:pBdr>
          <w:top w:val="nil"/>
          <w:left w:val="nil"/>
          <w:bottom w:val="nil"/>
          <w:right w:val="nil"/>
          <w:between w:val="nil"/>
          <w:bar w:val="nil"/>
        </w:pBdr>
        <w:tabs>
          <w:tab w:val="left" w:pos="851"/>
        </w:tabs>
        <w:spacing w:after="0" w:line="360" w:lineRule="auto"/>
        <w:ind w:left="567" w:hanging="567"/>
        <w:jc w:val="both"/>
        <w:rPr>
          <w:rFonts w:ascii="Arial Narrow" w:eastAsia="Calibri" w:hAnsi="Arial Narrow" w:cs="Times New Roman"/>
          <w:sz w:val="24"/>
          <w:szCs w:val="24"/>
          <w:u w:val="single"/>
          <w:lang w:val="af-ZA"/>
        </w:rPr>
      </w:pPr>
      <w:r w:rsidRPr="00010FFF">
        <w:rPr>
          <w:rFonts w:ascii="Arial Narrow" w:eastAsia="Calibri" w:hAnsi="Arial Narrow" w:cs="Times New Roman"/>
          <w:sz w:val="24"/>
          <w:szCs w:val="24"/>
        </w:rPr>
        <w:t>How are (</w:t>
      </w:r>
      <w:proofErr w:type="spellStart"/>
      <w:r w:rsidRPr="00010FFF">
        <w:rPr>
          <w:rFonts w:ascii="Arial Narrow" w:eastAsia="Calibri" w:hAnsi="Arial Narrow" w:cs="Times New Roman"/>
          <w:sz w:val="24"/>
          <w:szCs w:val="24"/>
        </w:rPr>
        <w:t>i</w:t>
      </w:r>
      <w:proofErr w:type="spellEnd"/>
      <w:r w:rsidRPr="00010FFF">
        <w:rPr>
          <w:rFonts w:ascii="Arial Narrow" w:eastAsia="Calibri" w:hAnsi="Arial Narrow" w:cs="Times New Roman"/>
          <w:sz w:val="24"/>
          <w:szCs w:val="24"/>
        </w:rPr>
        <w:t xml:space="preserve">) service providers and (ii) suppliers </w:t>
      </w:r>
      <w:r w:rsidRPr="008B52DB">
        <w:rPr>
          <w:rFonts w:ascii="Arial Narrow" w:eastAsia="Calibri" w:hAnsi="Arial Narrow" w:cs="Times New Roman"/>
          <w:b/>
          <w:sz w:val="24"/>
          <w:szCs w:val="24"/>
        </w:rPr>
        <w:t>who default</w:t>
      </w:r>
      <w:r w:rsidRPr="00010FFF">
        <w:rPr>
          <w:rFonts w:ascii="Arial Narrow" w:eastAsia="Calibri" w:hAnsi="Arial Narrow" w:cs="Times New Roman"/>
          <w:sz w:val="24"/>
          <w:szCs w:val="24"/>
        </w:rPr>
        <w:t xml:space="preserve"> in the services that they render to </w:t>
      </w:r>
      <w:r>
        <w:rPr>
          <w:rFonts w:ascii="Arial Narrow" w:eastAsia="Calibri" w:hAnsi="Arial Narrow" w:cs="Times New Roman"/>
          <w:sz w:val="24"/>
          <w:szCs w:val="24"/>
        </w:rPr>
        <w:t>the</w:t>
      </w:r>
      <w:r w:rsidRPr="00010FFF">
        <w:rPr>
          <w:rFonts w:ascii="Arial Narrow" w:eastAsia="Calibri" w:hAnsi="Arial Narrow" w:cs="Times New Roman"/>
          <w:sz w:val="24"/>
          <w:szCs w:val="24"/>
        </w:rPr>
        <w:t xml:space="preserve"> </w:t>
      </w:r>
      <w:r w:rsidRPr="00EC3B76">
        <w:rPr>
          <w:rFonts w:ascii="Arial Narrow" w:eastAsia="Calibri" w:hAnsi="Arial Narrow" w:cs="Times New Roman"/>
          <w:sz w:val="24"/>
          <w:szCs w:val="24"/>
          <w:u w:val="single"/>
        </w:rPr>
        <w:t>department dealt with</w:t>
      </w:r>
      <w:r w:rsidR="0093143D" w:rsidRPr="00EC3B76">
        <w:rPr>
          <w:rFonts w:ascii="Arial Narrow" w:eastAsia="Calibri" w:hAnsi="Arial Narrow" w:cs="Times New Roman"/>
          <w:sz w:val="24"/>
          <w:szCs w:val="24"/>
          <w:u w:val="single"/>
        </w:rPr>
        <w:t>.</w:t>
      </w:r>
    </w:p>
    <w:p w:rsidR="00EC3B76" w:rsidRPr="00010FFF" w:rsidRDefault="00EC3B76" w:rsidP="00EC3B76">
      <w:pPr>
        <w:pStyle w:val="ListParagraph"/>
        <w:pBdr>
          <w:top w:val="nil"/>
          <w:left w:val="nil"/>
          <w:bottom w:val="nil"/>
          <w:right w:val="nil"/>
          <w:between w:val="nil"/>
          <w:bar w:val="nil"/>
        </w:pBdr>
        <w:tabs>
          <w:tab w:val="left" w:pos="851"/>
        </w:tabs>
        <w:spacing w:after="0" w:line="360" w:lineRule="auto"/>
        <w:ind w:left="567"/>
        <w:jc w:val="both"/>
        <w:rPr>
          <w:rFonts w:ascii="Arial Narrow" w:eastAsia="Calibri" w:hAnsi="Arial Narrow" w:cs="Times New Roman"/>
          <w:sz w:val="24"/>
          <w:szCs w:val="24"/>
          <w:lang w:val="af-ZA"/>
        </w:rPr>
      </w:pPr>
      <w:r>
        <w:rPr>
          <w:rFonts w:ascii="Arial Narrow" w:eastAsia="Calibri" w:hAnsi="Arial Narrow" w:cs="Times New Roman"/>
          <w:sz w:val="24"/>
          <w:szCs w:val="24"/>
        </w:rPr>
        <w:t xml:space="preserve">If steps as per reply </w:t>
      </w:r>
      <w:r w:rsidR="00B75134">
        <w:rPr>
          <w:rFonts w:ascii="Arial Narrow" w:eastAsia="Calibri" w:hAnsi="Arial Narrow" w:cs="Times New Roman"/>
          <w:sz w:val="24"/>
          <w:szCs w:val="24"/>
        </w:rPr>
        <w:t>to Question N</w:t>
      </w:r>
      <w:r w:rsidR="00597BF3">
        <w:rPr>
          <w:rFonts w:ascii="Arial Narrow" w:eastAsia="Calibri" w:hAnsi="Arial Narrow" w:cs="Times New Roman"/>
          <w:sz w:val="24"/>
          <w:szCs w:val="24"/>
        </w:rPr>
        <w:t>o</w:t>
      </w:r>
      <w:r w:rsidR="00B75134">
        <w:rPr>
          <w:rFonts w:ascii="Arial Narrow" w:eastAsia="Calibri" w:hAnsi="Arial Narrow" w:cs="Times New Roman"/>
          <w:sz w:val="24"/>
          <w:szCs w:val="24"/>
        </w:rPr>
        <w:t xml:space="preserve">: </w:t>
      </w:r>
      <w:r>
        <w:rPr>
          <w:rFonts w:ascii="Arial Narrow" w:eastAsia="Calibri" w:hAnsi="Arial Narrow" w:cs="Times New Roman"/>
          <w:sz w:val="24"/>
          <w:szCs w:val="24"/>
        </w:rPr>
        <w:t>1398 are not successful, the following action are taken:</w:t>
      </w:r>
    </w:p>
    <w:p w:rsidR="00F45863" w:rsidRPr="00F45863" w:rsidRDefault="00F45863" w:rsidP="00CC0258">
      <w:pPr>
        <w:pStyle w:val="ListParagraph"/>
        <w:numPr>
          <w:ilvl w:val="0"/>
          <w:numId w:val="45"/>
        </w:numPr>
        <w:pBdr>
          <w:top w:val="nil"/>
          <w:left w:val="nil"/>
          <w:bottom w:val="nil"/>
          <w:right w:val="nil"/>
          <w:between w:val="nil"/>
          <w:bar w:val="nil"/>
        </w:pBdr>
        <w:spacing w:after="0" w:line="360" w:lineRule="auto"/>
        <w:ind w:left="851" w:hanging="284"/>
        <w:jc w:val="both"/>
        <w:rPr>
          <w:rFonts w:ascii="Arial Narrow" w:eastAsia="Calibri" w:hAnsi="Arial Narrow" w:cs="Times New Roman"/>
          <w:sz w:val="24"/>
          <w:szCs w:val="24"/>
        </w:rPr>
      </w:pPr>
      <w:r w:rsidRPr="00F45863">
        <w:rPr>
          <w:rFonts w:ascii="Arial Narrow" w:eastAsia="Calibri" w:hAnsi="Arial Narrow" w:cs="Times New Roman"/>
          <w:sz w:val="24"/>
          <w:szCs w:val="24"/>
        </w:rPr>
        <w:lastRenderedPageBreak/>
        <w:t xml:space="preserve">Termination of contracts with penalties i.e. partial payment </w:t>
      </w:r>
      <w:r>
        <w:rPr>
          <w:rFonts w:ascii="Arial Narrow" w:eastAsia="Calibri" w:hAnsi="Arial Narrow" w:cs="Times New Roman"/>
          <w:sz w:val="24"/>
          <w:szCs w:val="24"/>
        </w:rPr>
        <w:t>for services delivered</w:t>
      </w:r>
    </w:p>
    <w:p w:rsidR="00F45863" w:rsidRDefault="00F45863" w:rsidP="00CC0258">
      <w:pPr>
        <w:pStyle w:val="ListParagraph"/>
        <w:numPr>
          <w:ilvl w:val="0"/>
          <w:numId w:val="45"/>
        </w:numPr>
        <w:pBdr>
          <w:top w:val="nil"/>
          <w:left w:val="nil"/>
          <w:bottom w:val="nil"/>
          <w:right w:val="nil"/>
          <w:between w:val="nil"/>
          <w:bar w:val="nil"/>
        </w:pBdr>
        <w:spacing w:after="0" w:line="360" w:lineRule="auto"/>
        <w:ind w:left="851" w:hanging="284"/>
        <w:jc w:val="both"/>
        <w:rPr>
          <w:rFonts w:ascii="Arial Narrow" w:eastAsia="Calibri" w:hAnsi="Arial Narrow" w:cs="Times New Roman"/>
          <w:sz w:val="24"/>
          <w:szCs w:val="24"/>
        </w:rPr>
      </w:pPr>
      <w:r>
        <w:rPr>
          <w:rFonts w:ascii="Arial Narrow" w:eastAsia="Calibri" w:hAnsi="Arial Narrow" w:cs="Times New Roman"/>
          <w:sz w:val="24"/>
          <w:szCs w:val="24"/>
        </w:rPr>
        <w:t xml:space="preserve">Notice of Breach of Contract </w:t>
      </w:r>
    </w:p>
    <w:p w:rsidR="00F45863" w:rsidRPr="00F45863" w:rsidRDefault="00F45863" w:rsidP="00CC0258">
      <w:pPr>
        <w:pStyle w:val="ListParagraph"/>
        <w:numPr>
          <w:ilvl w:val="0"/>
          <w:numId w:val="45"/>
        </w:numPr>
        <w:pBdr>
          <w:top w:val="nil"/>
          <w:left w:val="nil"/>
          <w:bottom w:val="nil"/>
          <w:right w:val="nil"/>
          <w:between w:val="nil"/>
          <w:bar w:val="nil"/>
        </w:pBdr>
        <w:spacing w:after="0" w:line="360" w:lineRule="auto"/>
        <w:ind w:left="851" w:hanging="284"/>
        <w:jc w:val="both"/>
        <w:rPr>
          <w:rFonts w:ascii="Arial Narrow" w:eastAsia="Calibri" w:hAnsi="Arial Narrow" w:cs="Times New Roman"/>
          <w:sz w:val="24"/>
          <w:szCs w:val="24"/>
          <w:lang w:val="af-ZA"/>
        </w:rPr>
      </w:pPr>
      <w:r>
        <w:rPr>
          <w:rFonts w:ascii="Arial Narrow" w:eastAsia="Calibri" w:hAnsi="Arial Narrow" w:cs="Times New Roman"/>
          <w:sz w:val="24"/>
          <w:szCs w:val="24"/>
        </w:rPr>
        <w:t xml:space="preserve">Black listing of defaulters on the departments database as well as the data base of National Treasury </w:t>
      </w:r>
    </w:p>
    <w:p w:rsidR="00F45863" w:rsidRPr="00F45863" w:rsidRDefault="00F45863" w:rsidP="00CC0258">
      <w:pPr>
        <w:pStyle w:val="ListParagraph"/>
        <w:numPr>
          <w:ilvl w:val="0"/>
          <w:numId w:val="45"/>
        </w:numPr>
        <w:pBdr>
          <w:top w:val="nil"/>
          <w:left w:val="nil"/>
          <w:bottom w:val="nil"/>
          <w:right w:val="nil"/>
          <w:between w:val="nil"/>
          <w:bar w:val="nil"/>
        </w:pBdr>
        <w:spacing w:after="0" w:line="360" w:lineRule="auto"/>
        <w:ind w:left="851" w:hanging="284"/>
        <w:jc w:val="both"/>
        <w:rPr>
          <w:rFonts w:ascii="Arial Narrow" w:eastAsia="Calibri" w:hAnsi="Arial Narrow" w:cs="Times New Roman"/>
          <w:sz w:val="24"/>
          <w:szCs w:val="24"/>
          <w:lang w:val="af-ZA"/>
        </w:rPr>
      </w:pPr>
      <w:r>
        <w:rPr>
          <w:rFonts w:ascii="Arial Narrow" w:eastAsia="Calibri" w:hAnsi="Arial Narrow" w:cs="Times New Roman"/>
          <w:sz w:val="24"/>
          <w:szCs w:val="24"/>
        </w:rPr>
        <w:t>Case referred to SAPS for investigation and possible prosecution</w:t>
      </w:r>
    </w:p>
    <w:p w:rsidR="00F45863" w:rsidRPr="00EC3B76" w:rsidRDefault="00F45863" w:rsidP="00CC0258">
      <w:pPr>
        <w:pStyle w:val="ListParagraph"/>
        <w:numPr>
          <w:ilvl w:val="0"/>
          <w:numId w:val="45"/>
        </w:numPr>
        <w:pBdr>
          <w:top w:val="nil"/>
          <w:left w:val="nil"/>
          <w:bottom w:val="nil"/>
          <w:right w:val="nil"/>
          <w:between w:val="nil"/>
          <w:bar w:val="nil"/>
        </w:pBdr>
        <w:spacing w:after="0" w:line="360" w:lineRule="auto"/>
        <w:ind w:left="851" w:hanging="284"/>
        <w:jc w:val="both"/>
        <w:rPr>
          <w:rFonts w:ascii="Arial Narrow" w:eastAsia="Calibri" w:hAnsi="Arial Narrow" w:cs="Times New Roman"/>
          <w:sz w:val="24"/>
          <w:szCs w:val="24"/>
          <w:lang w:val="af-ZA"/>
        </w:rPr>
      </w:pPr>
      <w:r>
        <w:rPr>
          <w:rFonts w:ascii="Arial Narrow" w:eastAsia="Calibri" w:hAnsi="Arial Narrow" w:cs="Times New Roman"/>
          <w:sz w:val="24"/>
          <w:szCs w:val="24"/>
        </w:rPr>
        <w:t>Contract with provider can be suspended</w:t>
      </w:r>
    </w:p>
    <w:p w:rsidR="00EC3B76" w:rsidRPr="00F45863" w:rsidRDefault="00EC3B76" w:rsidP="00EC3B76">
      <w:pPr>
        <w:pStyle w:val="ListParagraph"/>
        <w:pBdr>
          <w:top w:val="nil"/>
          <w:left w:val="nil"/>
          <w:bottom w:val="nil"/>
          <w:right w:val="nil"/>
          <w:between w:val="nil"/>
          <w:bar w:val="nil"/>
        </w:pBdr>
        <w:spacing w:after="0" w:line="360" w:lineRule="auto"/>
        <w:ind w:left="851"/>
        <w:jc w:val="both"/>
        <w:rPr>
          <w:rFonts w:ascii="Arial Narrow" w:eastAsia="Calibri" w:hAnsi="Arial Narrow" w:cs="Times New Roman"/>
          <w:sz w:val="24"/>
          <w:szCs w:val="24"/>
          <w:lang w:val="af-ZA"/>
        </w:rPr>
      </w:pPr>
    </w:p>
    <w:p w:rsidR="00010FFF" w:rsidRPr="0093143D" w:rsidRDefault="00010FFF" w:rsidP="0093143D">
      <w:pPr>
        <w:pStyle w:val="ListParagraph"/>
        <w:numPr>
          <w:ilvl w:val="0"/>
          <w:numId w:val="40"/>
        </w:numPr>
        <w:pBdr>
          <w:top w:val="nil"/>
          <w:left w:val="nil"/>
          <w:bottom w:val="nil"/>
          <w:right w:val="nil"/>
          <w:between w:val="nil"/>
          <w:bar w:val="nil"/>
        </w:pBdr>
        <w:tabs>
          <w:tab w:val="left" w:pos="851"/>
        </w:tabs>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sz w:val="24"/>
          <w:szCs w:val="24"/>
        </w:rPr>
        <w:t>W</w:t>
      </w:r>
      <w:r w:rsidRPr="00010FFF">
        <w:rPr>
          <w:rFonts w:ascii="Arial Narrow" w:eastAsia="Calibri" w:hAnsi="Arial Narrow" w:cs="Times New Roman"/>
          <w:sz w:val="24"/>
          <w:szCs w:val="24"/>
        </w:rPr>
        <w:t xml:space="preserve">hat number of service providers and suppliers have </w:t>
      </w:r>
      <w:r w:rsidRPr="002E64A8">
        <w:rPr>
          <w:rFonts w:ascii="Arial Narrow" w:eastAsia="Calibri" w:hAnsi="Arial Narrow" w:cs="Times New Roman"/>
          <w:b/>
          <w:sz w:val="24"/>
          <w:szCs w:val="24"/>
        </w:rPr>
        <w:t>defaulted</w:t>
      </w:r>
      <w:r w:rsidRPr="00010FFF">
        <w:rPr>
          <w:rFonts w:ascii="Arial Narrow" w:eastAsia="Calibri" w:hAnsi="Arial Narrow" w:cs="Times New Roman"/>
          <w:sz w:val="24"/>
          <w:szCs w:val="24"/>
        </w:rPr>
        <w:t xml:space="preserve"> in each month in the past three financial years and since 1 April 2021</w:t>
      </w:r>
    </w:p>
    <w:p w:rsidR="009A06F8" w:rsidRDefault="009A06F8" w:rsidP="009A06F8">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lang w:val="af-ZA"/>
        </w:rPr>
      </w:pPr>
    </w:p>
    <w:p w:rsidR="000A21B3" w:rsidRDefault="000A21B3" w:rsidP="009A06F8">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lang w:val="af-ZA"/>
        </w:rPr>
      </w:pPr>
      <w:r>
        <w:rPr>
          <w:rFonts w:ascii="Arial Narrow" w:eastAsia="Calibri" w:hAnsi="Arial Narrow" w:cs="Times New Roman"/>
          <w:noProof/>
          <w:sz w:val="24"/>
          <w:szCs w:val="24"/>
          <w:lang w:val="en-GB"/>
        </w:rPr>
        <w:t>The Honourable member is referred to the letter and report submitted to the Chairperson of the Portfolio Committee on Tourism on 3 February 2021 by the Minister</w:t>
      </w:r>
      <w:r w:rsidR="00EC3B76">
        <w:rPr>
          <w:rFonts w:ascii="Arial Narrow" w:eastAsia="Calibri" w:hAnsi="Arial Narrow" w:cs="Times New Roman"/>
          <w:noProof/>
          <w:sz w:val="24"/>
          <w:szCs w:val="24"/>
          <w:lang w:val="en-GB"/>
        </w:rPr>
        <w:t xml:space="preserve"> an</w:t>
      </w:r>
      <w:r w:rsidR="00925277">
        <w:rPr>
          <w:rFonts w:ascii="Arial Narrow" w:eastAsia="Calibri" w:hAnsi="Arial Narrow" w:cs="Times New Roman"/>
          <w:noProof/>
          <w:sz w:val="24"/>
          <w:szCs w:val="24"/>
          <w:lang w:val="en-GB"/>
        </w:rPr>
        <w:t>d subseque</w:t>
      </w:r>
      <w:r>
        <w:rPr>
          <w:rFonts w:ascii="Arial Narrow" w:eastAsia="Calibri" w:hAnsi="Arial Narrow" w:cs="Times New Roman"/>
          <w:noProof/>
          <w:sz w:val="24"/>
          <w:szCs w:val="24"/>
          <w:lang w:val="en-GB"/>
        </w:rPr>
        <w:t>ntly distributed to member</w:t>
      </w:r>
      <w:r w:rsidR="00CC0258">
        <w:rPr>
          <w:rFonts w:ascii="Arial Narrow" w:eastAsia="Calibri" w:hAnsi="Arial Narrow" w:cs="Times New Roman"/>
          <w:noProof/>
          <w:sz w:val="24"/>
          <w:szCs w:val="24"/>
          <w:lang w:val="en-GB"/>
        </w:rPr>
        <w:t>s</w:t>
      </w:r>
      <w:r>
        <w:rPr>
          <w:rFonts w:ascii="Arial Narrow" w:eastAsia="Calibri" w:hAnsi="Arial Narrow" w:cs="Times New Roman"/>
          <w:noProof/>
          <w:sz w:val="24"/>
          <w:szCs w:val="24"/>
          <w:lang w:val="en-GB"/>
        </w:rPr>
        <w:t xml:space="preserve"> of the committee</w:t>
      </w:r>
      <w:r w:rsidR="00CC0258">
        <w:rPr>
          <w:rFonts w:ascii="Arial Narrow" w:eastAsia="Calibri" w:hAnsi="Arial Narrow" w:cs="Times New Roman"/>
          <w:noProof/>
          <w:sz w:val="24"/>
          <w:szCs w:val="24"/>
          <w:lang w:val="en-GB"/>
        </w:rPr>
        <w:t>.</w:t>
      </w:r>
    </w:p>
    <w:p w:rsidR="009A06F8" w:rsidRDefault="009A06F8" w:rsidP="0093143D">
      <w:pPr>
        <w:pStyle w:val="ListParagraph"/>
        <w:pBdr>
          <w:top w:val="nil"/>
          <w:left w:val="nil"/>
          <w:bottom w:val="nil"/>
          <w:right w:val="nil"/>
          <w:between w:val="nil"/>
          <w:bar w:val="nil"/>
        </w:pBdr>
        <w:tabs>
          <w:tab w:val="left" w:pos="851"/>
        </w:tabs>
        <w:spacing w:after="0" w:line="360" w:lineRule="auto"/>
        <w:ind w:left="567"/>
        <w:jc w:val="both"/>
        <w:rPr>
          <w:rFonts w:ascii="Arial Narrow" w:eastAsia="Calibri" w:hAnsi="Arial Narrow" w:cs="Times New Roman"/>
          <w:sz w:val="24"/>
          <w:szCs w:val="24"/>
          <w:lang w:val="af-ZA"/>
        </w:rPr>
      </w:pPr>
    </w:p>
    <w:p w:rsidR="00267BB2" w:rsidRPr="008B5DD3" w:rsidRDefault="00010FFF" w:rsidP="008B5DD3">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sz w:val="24"/>
          <w:szCs w:val="24"/>
        </w:rPr>
        <w:t>W</w:t>
      </w:r>
      <w:r w:rsidRPr="00010FFF">
        <w:rPr>
          <w:rFonts w:ascii="Arial Narrow" w:eastAsia="Calibri" w:hAnsi="Arial Narrow" w:cs="Times New Roman"/>
          <w:sz w:val="24"/>
          <w:szCs w:val="24"/>
        </w:rPr>
        <w:t xml:space="preserve">hat are the </w:t>
      </w:r>
      <w:r w:rsidRPr="002E64A8">
        <w:rPr>
          <w:rFonts w:ascii="Arial Narrow" w:eastAsia="Calibri" w:hAnsi="Arial Narrow" w:cs="Times New Roman"/>
          <w:sz w:val="24"/>
          <w:szCs w:val="24"/>
          <w:u w:val="single"/>
        </w:rPr>
        <w:t>reasons</w:t>
      </w:r>
      <w:r w:rsidRPr="00010FFF">
        <w:rPr>
          <w:rFonts w:ascii="Arial Narrow" w:eastAsia="Calibri" w:hAnsi="Arial Narrow" w:cs="Times New Roman"/>
          <w:sz w:val="24"/>
          <w:szCs w:val="24"/>
        </w:rPr>
        <w:t xml:space="preserve"> for the </w:t>
      </w:r>
      <w:r w:rsidRPr="009145A5">
        <w:rPr>
          <w:rFonts w:ascii="Arial Narrow" w:eastAsia="Calibri" w:hAnsi="Arial Narrow" w:cs="Times New Roman"/>
          <w:b/>
          <w:sz w:val="24"/>
          <w:szCs w:val="24"/>
        </w:rPr>
        <w:t>default in rendering</w:t>
      </w:r>
      <w:r w:rsidRPr="00010FFF">
        <w:rPr>
          <w:rFonts w:ascii="Arial Narrow" w:eastAsia="Calibri" w:hAnsi="Arial Narrow" w:cs="Times New Roman"/>
          <w:sz w:val="24"/>
          <w:szCs w:val="24"/>
        </w:rPr>
        <w:t xml:space="preserve"> the services</w:t>
      </w:r>
    </w:p>
    <w:p w:rsidR="008B5DD3" w:rsidRDefault="009145A5" w:rsidP="009145A5">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9145A5">
        <w:rPr>
          <w:rFonts w:ascii="Arial Narrow" w:eastAsia="Calibri" w:hAnsi="Arial Narrow" w:cs="Times New Roman"/>
          <w:sz w:val="24"/>
          <w:szCs w:val="24"/>
          <w:lang w:val="af-ZA"/>
        </w:rPr>
        <w:t>Non adherence to the terms and conditions of the contract by the service provider with regards to project reporting</w:t>
      </w:r>
      <w:r w:rsidR="00633B15">
        <w:rPr>
          <w:rFonts w:ascii="Arial Narrow" w:eastAsia="Calibri" w:hAnsi="Arial Narrow" w:cs="Times New Roman"/>
          <w:sz w:val="24"/>
          <w:szCs w:val="24"/>
          <w:lang w:val="af-ZA"/>
        </w:rPr>
        <w:t>, fraudulent transactions</w:t>
      </w:r>
      <w:r w:rsidR="00CC0258">
        <w:rPr>
          <w:rFonts w:ascii="Arial Narrow" w:eastAsia="Calibri" w:hAnsi="Arial Narrow" w:cs="Times New Roman"/>
          <w:sz w:val="24"/>
          <w:szCs w:val="24"/>
          <w:lang w:val="af-ZA"/>
        </w:rPr>
        <w:t xml:space="preserve">, non </w:t>
      </w:r>
      <w:r w:rsidR="00CC0258" w:rsidRPr="00CC0258">
        <w:rPr>
          <w:rFonts w:ascii="Arial Narrow" w:eastAsia="Calibri" w:hAnsi="Arial Narrow" w:cs="Times New Roman"/>
          <w:sz w:val="24"/>
          <w:szCs w:val="24"/>
        </w:rPr>
        <w:t>compliance</w:t>
      </w:r>
      <w:r w:rsidR="00CC0258">
        <w:rPr>
          <w:rFonts w:ascii="Arial Narrow" w:eastAsia="Calibri" w:hAnsi="Arial Narrow" w:cs="Times New Roman"/>
          <w:sz w:val="24"/>
          <w:szCs w:val="24"/>
          <w:lang w:val="af-ZA"/>
        </w:rPr>
        <w:t xml:space="preserve"> </w:t>
      </w:r>
      <w:r w:rsidR="00633B15">
        <w:rPr>
          <w:rFonts w:ascii="Arial Narrow" w:eastAsia="Calibri" w:hAnsi="Arial Narrow" w:cs="Times New Roman"/>
          <w:sz w:val="24"/>
          <w:szCs w:val="24"/>
          <w:lang w:val="af-ZA"/>
        </w:rPr>
        <w:t xml:space="preserve"> </w:t>
      </w:r>
      <w:r w:rsidR="00CC0258">
        <w:rPr>
          <w:rFonts w:ascii="Arial Narrow" w:eastAsia="Calibri" w:hAnsi="Arial Narrow" w:cs="Times New Roman"/>
          <w:sz w:val="24"/>
          <w:szCs w:val="24"/>
          <w:lang w:val="af-ZA"/>
        </w:rPr>
        <w:t>etc.</w:t>
      </w:r>
    </w:p>
    <w:p w:rsidR="009145A5" w:rsidRDefault="009145A5" w:rsidP="009145A5">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Non performance</w:t>
      </w:r>
    </w:p>
    <w:p w:rsidR="009145A5" w:rsidRPr="009145A5" w:rsidRDefault="009145A5" w:rsidP="009145A5">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2F037A">
        <w:rPr>
          <w:rFonts w:ascii="Arial Narrow" w:eastAsia="Times New Roman" w:hAnsi="Arial Narrow" w:cs="Calibri"/>
          <w:bCs/>
          <w:color w:val="000000"/>
          <w:sz w:val="24"/>
          <w:szCs w:val="24"/>
          <w:lang w:eastAsia="en-ZA"/>
        </w:rPr>
        <w:t>Non reporting and refusing to comply with terms of the contract</w:t>
      </w:r>
    </w:p>
    <w:p w:rsidR="009145A5" w:rsidRPr="00CC0258" w:rsidRDefault="009145A5" w:rsidP="009145A5">
      <w:pPr>
        <w:pStyle w:val="ListParagraph"/>
        <w:numPr>
          <w:ilvl w:val="0"/>
          <w:numId w:val="44"/>
        </w:num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Pr>
          <w:rFonts w:ascii="Arial Narrow" w:eastAsia="Times New Roman" w:hAnsi="Arial Narrow" w:cs="Calibri"/>
          <w:bCs/>
          <w:color w:val="000000"/>
          <w:sz w:val="24"/>
          <w:szCs w:val="24"/>
          <w:lang w:eastAsia="en-ZA"/>
        </w:rPr>
        <w:t>Collusion in obtaining the tender</w:t>
      </w:r>
    </w:p>
    <w:p w:rsidR="001D7453" w:rsidRPr="008B5DD3" w:rsidRDefault="001D7453" w:rsidP="008B5DD3">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F45863" w:rsidRPr="00EC3B76" w:rsidRDefault="00010FFF" w:rsidP="00540B10">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rPr>
      </w:pPr>
      <w:r w:rsidRPr="00EC3B76">
        <w:rPr>
          <w:rFonts w:ascii="Arial Narrow" w:eastAsia="Calibri" w:hAnsi="Arial Narrow" w:cs="Times New Roman"/>
          <w:sz w:val="24"/>
          <w:szCs w:val="24"/>
        </w:rPr>
        <w:t xml:space="preserve">What steps are taken to </w:t>
      </w:r>
      <w:r w:rsidRPr="00EC3B76">
        <w:rPr>
          <w:rFonts w:ascii="Arial Narrow" w:eastAsia="Calibri" w:hAnsi="Arial Narrow" w:cs="Times New Roman"/>
          <w:sz w:val="24"/>
          <w:szCs w:val="24"/>
          <w:u w:val="single"/>
        </w:rPr>
        <w:t>reduce the default incidences</w:t>
      </w:r>
    </w:p>
    <w:p w:rsidR="00EC3B76" w:rsidRPr="0094056F" w:rsidRDefault="00EC3B76" w:rsidP="00925277">
      <w:pPr>
        <w:pBdr>
          <w:top w:val="nil"/>
          <w:left w:val="nil"/>
          <w:bottom w:val="nil"/>
          <w:right w:val="nil"/>
          <w:between w:val="nil"/>
          <w:bar w:val="nil"/>
        </w:pBdr>
        <w:spacing w:after="0" w:line="360" w:lineRule="auto"/>
        <w:jc w:val="both"/>
        <w:rPr>
          <w:rFonts w:ascii="Arial Narrow" w:eastAsia="Calibri" w:hAnsi="Arial Narrow" w:cs="Times New Roman"/>
          <w:noProof/>
          <w:sz w:val="24"/>
          <w:szCs w:val="24"/>
          <w:lang w:val="en-GB"/>
        </w:rPr>
      </w:pPr>
      <w:r>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ab/>
        <w:t>As per reply</w:t>
      </w:r>
      <w:r w:rsidR="00B75134">
        <w:rPr>
          <w:rFonts w:ascii="Arial Narrow" w:eastAsia="Calibri" w:hAnsi="Arial Narrow" w:cs="Times New Roman"/>
          <w:sz w:val="24"/>
          <w:szCs w:val="24"/>
          <w:lang w:val="af-ZA"/>
        </w:rPr>
        <w:t xml:space="preserve"> to Question N</w:t>
      </w:r>
      <w:r w:rsidR="00597BF3">
        <w:rPr>
          <w:rFonts w:ascii="Arial Narrow" w:eastAsia="Calibri" w:hAnsi="Arial Narrow" w:cs="Times New Roman"/>
          <w:sz w:val="24"/>
          <w:szCs w:val="24"/>
          <w:lang w:val="af-ZA"/>
        </w:rPr>
        <w:t>o</w:t>
      </w:r>
      <w:r w:rsidR="00085724">
        <w:rPr>
          <w:rFonts w:ascii="Arial Narrow" w:eastAsia="Calibri" w:hAnsi="Arial Narrow" w:cs="Times New Roman"/>
          <w:sz w:val="24"/>
          <w:szCs w:val="24"/>
          <w:lang w:val="af-ZA"/>
        </w:rPr>
        <w:t xml:space="preserve">  </w:t>
      </w:r>
      <w:r>
        <w:rPr>
          <w:rFonts w:ascii="Arial Narrow" w:eastAsia="Calibri" w:hAnsi="Arial Narrow" w:cs="Times New Roman"/>
          <w:sz w:val="24"/>
          <w:szCs w:val="24"/>
          <w:lang w:val="af-ZA"/>
        </w:rPr>
        <w:t xml:space="preserve">1398  </w:t>
      </w:r>
    </w:p>
    <w:p w:rsidR="00CC0258" w:rsidRDefault="00CC0258" w:rsidP="009A06F8">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9A06F8" w:rsidRPr="009A06F8" w:rsidRDefault="00010FFF" w:rsidP="008B5DD3">
      <w:pPr>
        <w:pStyle w:val="ListParagraph"/>
        <w:numPr>
          <w:ilvl w:val="0"/>
          <w:numId w:val="40"/>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sz w:val="24"/>
          <w:szCs w:val="24"/>
        </w:rPr>
        <w:t>W</w:t>
      </w:r>
      <w:r w:rsidRPr="00010FFF">
        <w:rPr>
          <w:rFonts w:ascii="Arial Narrow" w:eastAsia="Calibri" w:hAnsi="Arial Narrow" w:cs="Times New Roman"/>
          <w:sz w:val="24"/>
          <w:szCs w:val="24"/>
        </w:rPr>
        <w:t xml:space="preserve">hat financial losses have been incurred in each month in the past three financial years and </w:t>
      </w:r>
      <w:r>
        <w:rPr>
          <w:rFonts w:ascii="Arial Narrow" w:eastAsia="Calibri" w:hAnsi="Arial Narrow" w:cs="Times New Roman"/>
          <w:sz w:val="24"/>
          <w:szCs w:val="24"/>
        </w:rPr>
        <w:t>since 1 April 2021</w:t>
      </w:r>
    </w:p>
    <w:tbl>
      <w:tblPr>
        <w:tblStyle w:val="TableGrid"/>
        <w:tblW w:w="9067" w:type="dxa"/>
        <w:tblInd w:w="567" w:type="dxa"/>
        <w:tblLook w:val="04A0"/>
      </w:tblPr>
      <w:tblGrid>
        <w:gridCol w:w="2405"/>
        <w:gridCol w:w="6662"/>
      </w:tblGrid>
      <w:tr w:rsidR="000A21B3" w:rsidRPr="00C9586E" w:rsidTr="005368D9">
        <w:tc>
          <w:tcPr>
            <w:tcW w:w="2405" w:type="dxa"/>
            <w:shd w:val="clear" w:color="auto" w:fill="D9D9D9" w:themeFill="background1" w:themeFillShade="D9"/>
          </w:tcPr>
          <w:p w:rsidR="000A21B3" w:rsidRPr="00C9586E" w:rsidRDefault="000A21B3" w:rsidP="005368D9">
            <w:pPr>
              <w:pBdr>
                <w:top w:val="nil"/>
                <w:left w:val="nil"/>
                <w:bottom w:val="nil"/>
                <w:right w:val="nil"/>
                <w:between w:val="nil"/>
                <w:bar w:val="nil"/>
              </w:pBdr>
              <w:spacing w:line="360" w:lineRule="auto"/>
              <w:jc w:val="both"/>
              <w:rPr>
                <w:rFonts w:ascii="Arial Narrow" w:eastAsia="Calibri" w:hAnsi="Arial Narrow" w:cs="Times New Roman"/>
                <w:b/>
                <w:noProof/>
                <w:sz w:val="24"/>
                <w:szCs w:val="24"/>
                <w:lang w:val="en-GB"/>
              </w:rPr>
            </w:pPr>
            <w:r w:rsidRPr="00C9586E">
              <w:rPr>
                <w:rFonts w:ascii="Arial Narrow" w:eastAsia="Calibri" w:hAnsi="Arial Narrow" w:cs="Times New Roman"/>
                <w:b/>
                <w:noProof/>
                <w:sz w:val="24"/>
                <w:szCs w:val="24"/>
                <w:lang w:val="en-GB"/>
              </w:rPr>
              <w:t>Financial Year</w:t>
            </w:r>
          </w:p>
        </w:tc>
        <w:tc>
          <w:tcPr>
            <w:tcW w:w="6662" w:type="dxa"/>
            <w:shd w:val="clear" w:color="auto" w:fill="D9D9D9" w:themeFill="background1" w:themeFillShade="D9"/>
          </w:tcPr>
          <w:p w:rsidR="000A21B3" w:rsidRPr="00C9586E" w:rsidRDefault="000A21B3" w:rsidP="005368D9">
            <w:pPr>
              <w:pBdr>
                <w:top w:val="nil"/>
                <w:left w:val="nil"/>
                <w:bottom w:val="nil"/>
                <w:right w:val="nil"/>
                <w:between w:val="nil"/>
                <w:bar w:val="nil"/>
              </w:pBdr>
              <w:spacing w:line="360" w:lineRule="auto"/>
              <w:jc w:val="both"/>
              <w:rPr>
                <w:rFonts w:ascii="Arial Narrow" w:eastAsia="Calibri" w:hAnsi="Arial Narrow" w:cs="Times New Roman"/>
                <w:b/>
                <w:noProof/>
                <w:sz w:val="24"/>
                <w:szCs w:val="24"/>
                <w:lang w:val="en-GB"/>
              </w:rPr>
            </w:pPr>
            <w:r w:rsidRPr="00C9586E">
              <w:rPr>
                <w:rFonts w:ascii="Arial Narrow" w:eastAsia="Calibri" w:hAnsi="Arial Narrow" w:cs="Times New Roman"/>
                <w:b/>
                <w:noProof/>
                <w:sz w:val="24"/>
                <w:szCs w:val="24"/>
                <w:lang w:val="en-GB"/>
              </w:rPr>
              <w:t>Financial losses incurred</w:t>
            </w:r>
          </w:p>
        </w:tc>
      </w:tr>
      <w:tr w:rsidR="000A21B3" w:rsidRPr="00C9586E" w:rsidTr="005368D9">
        <w:tc>
          <w:tcPr>
            <w:tcW w:w="2405" w:type="dxa"/>
          </w:tcPr>
          <w:p w:rsidR="000A21B3" w:rsidRPr="00C9586E" w:rsidRDefault="000A21B3" w:rsidP="005368D9">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sidRPr="00C9586E">
              <w:rPr>
                <w:rFonts w:ascii="Arial Narrow" w:eastAsia="Calibri" w:hAnsi="Arial Narrow" w:cs="Times New Roman"/>
                <w:noProof/>
                <w:sz w:val="24"/>
                <w:szCs w:val="24"/>
                <w:lang w:val="en-GB"/>
              </w:rPr>
              <w:t>Since 1 April</w:t>
            </w:r>
            <w:r w:rsidR="00925277">
              <w:rPr>
                <w:rFonts w:ascii="Arial Narrow" w:eastAsia="Calibri" w:hAnsi="Arial Narrow" w:cs="Times New Roman"/>
                <w:noProof/>
                <w:sz w:val="24"/>
                <w:szCs w:val="24"/>
                <w:lang w:val="en-GB"/>
              </w:rPr>
              <w:t xml:space="preserve"> 2021</w:t>
            </w:r>
          </w:p>
        </w:tc>
        <w:tc>
          <w:tcPr>
            <w:tcW w:w="6662" w:type="dxa"/>
          </w:tcPr>
          <w:p w:rsidR="000A21B3" w:rsidRPr="00C9586E" w:rsidRDefault="000A21B3" w:rsidP="005368D9">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Information will only be audited in 202</w:t>
            </w:r>
            <w:r w:rsidR="0047736C">
              <w:rPr>
                <w:rFonts w:ascii="Arial Narrow" w:eastAsia="Calibri" w:hAnsi="Arial Narrow" w:cs="Times New Roman"/>
                <w:noProof/>
                <w:sz w:val="24"/>
                <w:szCs w:val="24"/>
                <w:lang w:val="en-GB"/>
              </w:rPr>
              <w:t>2/23</w:t>
            </w:r>
            <w:r w:rsidR="00310586">
              <w:rPr>
                <w:rFonts w:ascii="Arial Narrow" w:eastAsia="Calibri" w:hAnsi="Arial Narrow" w:cs="Times New Roman"/>
                <w:noProof/>
                <w:sz w:val="24"/>
                <w:szCs w:val="24"/>
                <w:lang w:val="en-GB"/>
              </w:rPr>
              <w:t xml:space="preserve"> financial year.</w:t>
            </w:r>
          </w:p>
        </w:tc>
      </w:tr>
      <w:tr w:rsidR="000A21B3" w:rsidRPr="00C9586E" w:rsidTr="005368D9">
        <w:tc>
          <w:tcPr>
            <w:tcW w:w="2405" w:type="dxa"/>
          </w:tcPr>
          <w:p w:rsidR="000A21B3" w:rsidRPr="00C9586E" w:rsidRDefault="000A21B3" w:rsidP="005368D9">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sidRPr="00C9586E">
              <w:rPr>
                <w:rFonts w:ascii="Arial Narrow" w:eastAsia="Calibri" w:hAnsi="Arial Narrow" w:cs="Times New Roman"/>
                <w:noProof/>
                <w:sz w:val="24"/>
                <w:szCs w:val="24"/>
                <w:lang w:val="en-GB"/>
              </w:rPr>
              <w:t>2020-2021</w:t>
            </w:r>
          </w:p>
        </w:tc>
        <w:tc>
          <w:tcPr>
            <w:tcW w:w="6662" w:type="dxa"/>
          </w:tcPr>
          <w:p w:rsidR="000A21B3" w:rsidRPr="00C9586E" w:rsidRDefault="000A21B3" w:rsidP="005368D9">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Information in process to be  audited</w:t>
            </w:r>
            <w:r w:rsidR="00C02ED9">
              <w:rPr>
                <w:rFonts w:ascii="Arial Narrow" w:eastAsia="Calibri" w:hAnsi="Arial Narrow" w:cs="Times New Roman"/>
                <w:noProof/>
                <w:sz w:val="24"/>
                <w:szCs w:val="24"/>
                <w:lang w:val="en-GB"/>
              </w:rPr>
              <w:t>.</w:t>
            </w:r>
          </w:p>
        </w:tc>
      </w:tr>
      <w:tr w:rsidR="000A21B3" w:rsidRPr="00C9586E" w:rsidTr="005368D9">
        <w:tc>
          <w:tcPr>
            <w:tcW w:w="2405" w:type="dxa"/>
          </w:tcPr>
          <w:p w:rsidR="000A21B3" w:rsidRPr="00C9586E" w:rsidRDefault="000A21B3" w:rsidP="005368D9">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sidRPr="00C9586E">
              <w:rPr>
                <w:rFonts w:ascii="Arial Narrow" w:eastAsia="Calibri" w:hAnsi="Arial Narrow" w:cs="Times New Roman"/>
                <w:noProof/>
                <w:sz w:val="24"/>
                <w:szCs w:val="24"/>
                <w:lang w:val="en-GB"/>
              </w:rPr>
              <w:t>2019-2020</w:t>
            </w:r>
          </w:p>
        </w:tc>
        <w:tc>
          <w:tcPr>
            <w:tcW w:w="6662" w:type="dxa"/>
          </w:tcPr>
          <w:p w:rsidR="000A21B3" w:rsidRPr="00C9586E" w:rsidRDefault="000A21B3" w:rsidP="005368D9">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Information can be obtained from that tabled Annual Performance Report of 2019/20 as tabled on  22 October 2020 ( ATC no 151 – 2020)</w:t>
            </w:r>
          </w:p>
        </w:tc>
      </w:tr>
      <w:tr w:rsidR="000A21B3" w:rsidRPr="00C9586E" w:rsidTr="005368D9">
        <w:tc>
          <w:tcPr>
            <w:tcW w:w="2405" w:type="dxa"/>
          </w:tcPr>
          <w:p w:rsidR="000A21B3" w:rsidRPr="00C9586E" w:rsidRDefault="000A21B3" w:rsidP="005368D9">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sidRPr="00C9586E">
              <w:rPr>
                <w:rFonts w:ascii="Arial Narrow" w:eastAsia="Calibri" w:hAnsi="Arial Narrow" w:cs="Times New Roman"/>
                <w:noProof/>
                <w:sz w:val="24"/>
                <w:szCs w:val="24"/>
                <w:lang w:val="en-GB"/>
              </w:rPr>
              <w:t>2018-2019</w:t>
            </w:r>
          </w:p>
        </w:tc>
        <w:tc>
          <w:tcPr>
            <w:tcW w:w="6662" w:type="dxa"/>
          </w:tcPr>
          <w:p w:rsidR="000A21B3" w:rsidRPr="00C9586E" w:rsidRDefault="000A21B3" w:rsidP="005368D9">
            <w:pPr>
              <w:pBdr>
                <w:top w:val="nil"/>
                <w:left w:val="nil"/>
                <w:bottom w:val="nil"/>
                <w:right w:val="nil"/>
                <w:between w:val="nil"/>
                <w:bar w:val="nil"/>
              </w:pBdr>
              <w:spacing w:line="360" w:lineRule="auto"/>
              <w:jc w:val="both"/>
              <w:rPr>
                <w:rFonts w:ascii="Arial Narrow" w:eastAsia="Calibri" w:hAnsi="Arial Narrow" w:cs="Times New Roman"/>
                <w:noProof/>
                <w:sz w:val="24"/>
                <w:szCs w:val="24"/>
                <w:lang w:val="en-GB"/>
              </w:rPr>
            </w:pPr>
            <w:r>
              <w:rPr>
                <w:rFonts w:ascii="Arial Narrow" w:eastAsia="Calibri" w:hAnsi="Arial Narrow" w:cs="Times New Roman"/>
                <w:noProof/>
                <w:sz w:val="24"/>
                <w:szCs w:val="24"/>
                <w:lang w:val="en-GB"/>
              </w:rPr>
              <w:t>Information can be obtained from the tabled Annual Performance Repor</w:t>
            </w:r>
            <w:r w:rsidR="00597BF3">
              <w:rPr>
                <w:rFonts w:ascii="Arial Narrow" w:eastAsia="Calibri" w:hAnsi="Arial Narrow" w:cs="Times New Roman"/>
                <w:noProof/>
                <w:sz w:val="24"/>
                <w:szCs w:val="24"/>
                <w:lang w:val="en-GB"/>
              </w:rPr>
              <w:t>t of 2018/19 as tabled on 1 Octo</w:t>
            </w:r>
            <w:r>
              <w:rPr>
                <w:rFonts w:ascii="Arial Narrow" w:eastAsia="Calibri" w:hAnsi="Arial Narrow" w:cs="Times New Roman"/>
                <w:noProof/>
                <w:sz w:val="24"/>
                <w:szCs w:val="24"/>
                <w:lang w:val="en-GB"/>
              </w:rPr>
              <w:t>ber 2019 (ATC no 72 -2019)</w:t>
            </w:r>
          </w:p>
        </w:tc>
      </w:tr>
    </w:tbl>
    <w:p w:rsidR="00022C16" w:rsidRDefault="00022C16"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1BB2B" w16cid:durableId="245B2715"/>
  <w16cid:commentId w16cid:paraId="103365F9" w16cid:durableId="245B6E0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C6" w:rsidRDefault="007D56C6">
      <w:pPr>
        <w:spacing w:after="0" w:line="240" w:lineRule="auto"/>
      </w:pPr>
      <w:r>
        <w:separator/>
      </w:r>
    </w:p>
  </w:endnote>
  <w:endnote w:type="continuationSeparator" w:id="0">
    <w:p w:rsidR="007D56C6" w:rsidRDefault="007D5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010FFF" w:rsidP="002F279D">
        <w:pPr>
          <w:pStyle w:val="Footer"/>
          <w:tabs>
            <w:tab w:val="clear" w:pos="4513"/>
            <w:tab w:val="center" w:pos="5103"/>
          </w:tabs>
          <w:jc w:val="right"/>
          <w:rPr>
            <w:rFonts w:ascii="Arial Narrow" w:hAnsi="Arial Narrow"/>
          </w:rPr>
        </w:pPr>
        <w:r>
          <w:rPr>
            <w:rFonts w:ascii="Arial Narrow" w:hAnsi="Arial Narrow"/>
            <w:sz w:val="18"/>
            <w:szCs w:val="18"/>
          </w:rPr>
          <w:t>1396</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590</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FC3C64" w:rsidRPr="00013AC6">
          <w:rPr>
            <w:rFonts w:ascii="Arial Narrow" w:hAnsi="Arial Narrow"/>
          </w:rPr>
          <w:fldChar w:fldCharType="begin"/>
        </w:r>
        <w:r w:rsidR="00013AC6" w:rsidRPr="00013AC6">
          <w:rPr>
            <w:rFonts w:ascii="Arial Narrow" w:hAnsi="Arial Narrow"/>
          </w:rPr>
          <w:instrText xml:space="preserve"> PAGE   \* MERGEFORMAT </w:instrText>
        </w:r>
        <w:r w:rsidR="00FC3C64" w:rsidRPr="00013AC6">
          <w:rPr>
            <w:rFonts w:ascii="Arial Narrow" w:hAnsi="Arial Narrow"/>
          </w:rPr>
          <w:fldChar w:fldCharType="separate"/>
        </w:r>
        <w:r w:rsidR="00F566A5">
          <w:rPr>
            <w:rFonts w:ascii="Arial Narrow" w:hAnsi="Arial Narrow"/>
            <w:noProof/>
          </w:rPr>
          <w:t>3</w:t>
        </w:r>
        <w:r w:rsidR="00FC3C64"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7D56C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7D56C6">
    <w:pPr>
      <w:pStyle w:val="Footer"/>
      <w:jc w:val="right"/>
    </w:pPr>
  </w:p>
  <w:p w:rsidR="001656DE" w:rsidRPr="006016C0" w:rsidRDefault="00010FFF" w:rsidP="006016C0">
    <w:pPr>
      <w:pStyle w:val="HeaderFooter"/>
      <w:jc w:val="center"/>
      <w:rPr>
        <w:rFonts w:ascii="Arial Narrow" w:hAnsi="Arial Narrow"/>
        <w:sz w:val="18"/>
        <w:szCs w:val="18"/>
      </w:rPr>
    </w:pPr>
    <w:r>
      <w:rPr>
        <w:rFonts w:ascii="Arial Narrow" w:hAnsi="Arial Narrow"/>
        <w:sz w:val="18"/>
        <w:szCs w:val="18"/>
      </w:rPr>
      <w:t>1396</w:t>
    </w:r>
    <w:r w:rsidR="00D100A6">
      <w:rPr>
        <w:rFonts w:ascii="Arial Narrow" w:hAnsi="Arial Narrow"/>
        <w:sz w:val="18"/>
        <w:szCs w:val="18"/>
      </w:rPr>
      <w:t xml:space="preserve"> (NW</w:t>
    </w:r>
    <w:r>
      <w:rPr>
        <w:rFonts w:ascii="Arial Narrow" w:hAnsi="Arial Narrow"/>
        <w:sz w:val="18"/>
        <w:szCs w:val="18"/>
      </w:rPr>
      <w:t>1590</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C6" w:rsidRDefault="007D56C6">
      <w:pPr>
        <w:spacing w:after="0" w:line="240" w:lineRule="auto"/>
      </w:pPr>
      <w:r>
        <w:separator/>
      </w:r>
    </w:p>
  </w:footnote>
  <w:footnote w:type="continuationSeparator" w:id="0">
    <w:p w:rsidR="007D56C6" w:rsidRDefault="007D5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5033B6"/>
    <w:multiLevelType w:val="hybridMultilevel"/>
    <w:tmpl w:val="30EC2DBA"/>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0">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D43469"/>
    <w:multiLevelType w:val="hybridMultilevel"/>
    <w:tmpl w:val="BBE6E2AC"/>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25B5793"/>
    <w:multiLevelType w:val="hybridMultilevel"/>
    <w:tmpl w:val="D38076D4"/>
    <w:lvl w:ilvl="0" w:tplc="EAC8A210">
      <w:start w:val="2018"/>
      <w:numFmt w:val="bullet"/>
      <w:lvlText w:val="-"/>
      <w:lvlJc w:val="left"/>
      <w:pPr>
        <w:ind w:left="927" w:hanging="360"/>
      </w:pPr>
      <w:rPr>
        <w:rFonts w:ascii="Arial Narrow" w:eastAsia="Calibri" w:hAnsi="Arial Narrow"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281FD0"/>
    <w:multiLevelType w:val="hybridMultilevel"/>
    <w:tmpl w:val="7FCC293E"/>
    <w:lvl w:ilvl="0" w:tplc="6D62B53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510316EC"/>
    <w:multiLevelType w:val="hybridMultilevel"/>
    <w:tmpl w:val="3312979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3">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8">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41">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4">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2"/>
  </w:num>
  <w:num w:numId="3">
    <w:abstractNumId w:val="11"/>
  </w:num>
  <w:num w:numId="4">
    <w:abstractNumId w:val="13"/>
  </w:num>
  <w:num w:numId="5">
    <w:abstractNumId w:val="4"/>
  </w:num>
  <w:num w:numId="6">
    <w:abstractNumId w:val="28"/>
  </w:num>
  <w:num w:numId="7">
    <w:abstractNumId w:val="10"/>
  </w:num>
  <w:num w:numId="8">
    <w:abstractNumId w:val="5"/>
  </w:num>
  <w:num w:numId="9">
    <w:abstractNumId w:val="35"/>
  </w:num>
  <w:num w:numId="10">
    <w:abstractNumId w:val="23"/>
  </w:num>
  <w:num w:numId="11">
    <w:abstractNumId w:val="33"/>
  </w:num>
  <w:num w:numId="12">
    <w:abstractNumId w:val="40"/>
  </w:num>
  <w:num w:numId="13">
    <w:abstractNumId w:val="25"/>
  </w:num>
  <w:num w:numId="14">
    <w:abstractNumId w:val="8"/>
  </w:num>
  <w:num w:numId="15">
    <w:abstractNumId w:val="15"/>
  </w:num>
  <w:num w:numId="16">
    <w:abstractNumId w:val="21"/>
  </w:num>
  <w:num w:numId="17">
    <w:abstractNumId w:val="14"/>
  </w:num>
  <w:num w:numId="18">
    <w:abstractNumId w:val="17"/>
  </w:num>
  <w:num w:numId="19">
    <w:abstractNumId w:val="19"/>
  </w:num>
  <w:num w:numId="20">
    <w:abstractNumId w:val="31"/>
  </w:num>
  <w:num w:numId="21">
    <w:abstractNumId w:val="16"/>
  </w:num>
  <w:num w:numId="22">
    <w:abstractNumId w:val="29"/>
  </w:num>
  <w:num w:numId="23">
    <w:abstractNumId w:val="27"/>
  </w:num>
  <w:num w:numId="24">
    <w:abstractNumId w:val="46"/>
  </w:num>
  <w:num w:numId="25">
    <w:abstractNumId w:val="7"/>
  </w:num>
  <w:num w:numId="26">
    <w:abstractNumId w:val="39"/>
  </w:num>
  <w:num w:numId="27">
    <w:abstractNumId w:val="3"/>
  </w:num>
  <w:num w:numId="28">
    <w:abstractNumId w:val="45"/>
  </w:num>
  <w:num w:numId="29">
    <w:abstractNumId w:val="6"/>
  </w:num>
  <w:num w:numId="30">
    <w:abstractNumId w:val="38"/>
  </w:num>
  <w:num w:numId="31">
    <w:abstractNumId w:val="30"/>
  </w:num>
  <w:num w:numId="32">
    <w:abstractNumId w:val="34"/>
  </w:num>
  <w:num w:numId="33">
    <w:abstractNumId w:val="12"/>
  </w:num>
  <w:num w:numId="34">
    <w:abstractNumId w:val="0"/>
  </w:num>
  <w:num w:numId="35">
    <w:abstractNumId w:val="22"/>
  </w:num>
  <w:num w:numId="36">
    <w:abstractNumId w:val="44"/>
  </w:num>
  <w:num w:numId="37">
    <w:abstractNumId w:val="41"/>
  </w:num>
  <w:num w:numId="38">
    <w:abstractNumId w:val="43"/>
  </w:num>
  <w:num w:numId="39">
    <w:abstractNumId w:val="9"/>
  </w:num>
  <w:num w:numId="40">
    <w:abstractNumId w:val="37"/>
  </w:num>
  <w:num w:numId="41">
    <w:abstractNumId w:val="20"/>
  </w:num>
  <w:num w:numId="42">
    <w:abstractNumId w:val="36"/>
  </w:num>
  <w:num w:numId="43">
    <w:abstractNumId w:val="26"/>
  </w:num>
  <w:num w:numId="44">
    <w:abstractNumId w:val="32"/>
  </w:num>
  <w:num w:numId="45">
    <w:abstractNumId w:val="18"/>
  </w:num>
  <w:num w:numId="46">
    <w:abstractNumId w:val="1"/>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0FFF"/>
    <w:rsid w:val="0001138D"/>
    <w:rsid w:val="000117E0"/>
    <w:rsid w:val="00013AC6"/>
    <w:rsid w:val="00022C16"/>
    <w:rsid w:val="00057208"/>
    <w:rsid w:val="00070783"/>
    <w:rsid w:val="00085724"/>
    <w:rsid w:val="000A21B3"/>
    <w:rsid w:val="000C3341"/>
    <w:rsid w:val="000C44F3"/>
    <w:rsid w:val="000C51A5"/>
    <w:rsid w:val="000C618A"/>
    <w:rsid w:val="000E00D6"/>
    <w:rsid w:val="000E3860"/>
    <w:rsid w:val="001839A9"/>
    <w:rsid w:val="001C36E9"/>
    <w:rsid w:val="001C5D48"/>
    <w:rsid w:val="001D19B0"/>
    <w:rsid w:val="001D1F08"/>
    <w:rsid w:val="001D7453"/>
    <w:rsid w:val="001D7D5B"/>
    <w:rsid w:val="001E58B5"/>
    <w:rsid w:val="001E68F8"/>
    <w:rsid w:val="00236829"/>
    <w:rsid w:val="00260C2C"/>
    <w:rsid w:val="00267BB2"/>
    <w:rsid w:val="00273B9A"/>
    <w:rsid w:val="002E24A9"/>
    <w:rsid w:val="002E64A8"/>
    <w:rsid w:val="002F279D"/>
    <w:rsid w:val="002F397B"/>
    <w:rsid w:val="00310586"/>
    <w:rsid w:val="003111B9"/>
    <w:rsid w:val="0032627A"/>
    <w:rsid w:val="003334EC"/>
    <w:rsid w:val="0033490C"/>
    <w:rsid w:val="003766B1"/>
    <w:rsid w:val="0038039F"/>
    <w:rsid w:val="00387417"/>
    <w:rsid w:val="0039285D"/>
    <w:rsid w:val="003A42D5"/>
    <w:rsid w:val="003C5683"/>
    <w:rsid w:val="003D4737"/>
    <w:rsid w:val="004009F4"/>
    <w:rsid w:val="00471ABE"/>
    <w:rsid w:val="0047408B"/>
    <w:rsid w:val="0047736C"/>
    <w:rsid w:val="00485AC7"/>
    <w:rsid w:val="004945AB"/>
    <w:rsid w:val="004B2C2E"/>
    <w:rsid w:val="004B4233"/>
    <w:rsid w:val="004C360D"/>
    <w:rsid w:val="004D02F7"/>
    <w:rsid w:val="004D1232"/>
    <w:rsid w:val="004F583C"/>
    <w:rsid w:val="00501635"/>
    <w:rsid w:val="00504917"/>
    <w:rsid w:val="005454F4"/>
    <w:rsid w:val="00545830"/>
    <w:rsid w:val="00555A74"/>
    <w:rsid w:val="00571792"/>
    <w:rsid w:val="00576183"/>
    <w:rsid w:val="00593311"/>
    <w:rsid w:val="00597BF3"/>
    <w:rsid w:val="005B5009"/>
    <w:rsid w:val="005C13B9"/>
    <w:rsid w:val="005C36B5"/>
    <w:rsid w:val="005F2E76"/>
    <w:rsid w:val="006016C0"/>
    <w:rsid w:val="00607B52"/>
    <w:rsid w:val="00627B0B"/>
    <w:rsid w:val="00632E4F"/>
    <w:rsid w:val="006333D4"/>
    <w:rsid w:val="00633B15"/>
    <w:rsid w:val="00655403"/>
    <w:rsid w:val="006B0355"/>
    <w:rsid w:val="006C22EF"/>
    <w:rsid w:val="006D41F7"/>
    <w:rsid w:val="006D7B6F"/>
    <w:rsid w:val="007325C0"/>
    <w:rsid w:val="007A55E7"/>
    <w:rsid w:val="007D56C6"/>
    <w:rsid w:val="007F5766"/>
    <w:rsid w:val="00812181"/>
    <w:rsid w:val="008121CD"/>
    <w:rsid w:val="00831CB9"/>
    <w:rsid w:val="0083640D"/>
    <w:rsid w:val="00846470"/>
    <w:rsid w:val="00852D59"/>
    <w:rsid w:val="008A7A9A"/>
    <w:rsid w:val="008B0B46"/>
    <w:rsid w:val="008B4534"/>
    <w:rsid w:val="008B52DB"/>
    <w:rsid w:val="008B55A3"/>
    <w:rsid w:val="008B5DD3"/>
    <w:rsid w:val="008E24B0"/>
    <w:rsid w:val="008E73A3"/>
    <w:rsid w:val="008F0D0B"/>
    <w:rsid w:val="0091328D"/>
    <w:rsid w:val="009145A5"/>
    <w:rsid w:val="00925277"/>
    <w:rsid w:val="0093143D"/>
    <w:rsid w:val="009319CB"/>
    <w:rsid w:val="00940CDA"/>
    <w:rsid w:val="0094185D"/>
    <w:rsid w:val="00947B5B"/>
    <w:rsid w:val="00972BD7"/>
    <w:rsid w:val="00975E93"/>
    <w:rsid w:val="009A0025"/>
    <w:rsid w:val="009A06F8"/>
    <w:rsid w:val="009A0955"/>
    <w:rsid w:val="009A58D0"/>
    <w:rsid w:val="009F372F"/>
    <w:rsid w:val="00A176DC"/>
    <w:rsid w:val="00A46FF7"/>
    <w:rsid w:val="00A72A6B"/>
    <w:rsid w:val="00A75AB3"/>
    <w:rsid w:val="00A76D97"/>
    <w:rsid w:val="00A82287"/>
    <w:rsid w:val="00AD08C6"/>
    <w:rsid w:val="00AD2AEF"/>
    <w:rsid w:val="00B115A7"/>
    <w:rsid w:val="00B12CA0"/>
    <w:rsid w:val="00B15F93"/>
    <w:rsid w:val="00B359B5"/>
    <w:rsid w:val="00B53A89"/>
    <w:rsid w:val="00B71DB5"/>
    <w:rsid w:val="00B75134"/>
    <w:rsid w:val="00BB1222"/>
    <w:rsid w:val="00BB3AEF"/>
    <w:rsid w:val="00BC2B1A"/>
    <w:rsid w:val="00BE40D5"/>
    <w:rsid w:val="00C02ED9"/>
    <w:rsid w:val="00C07DBA"/>
    <w:rsid w:val="00C14944"/>
    <w:rsid w:val="00C1682D"/>
    <w:rsid w:val="00C24A26"/>
    <w:rsid w:val="00C339C8"/>
    <w:rsid w:val="00C37CD4"/>
    <w:rsid w:val="00C46460"/>
    <w:rsid w:val="00C53330"/>
    <w:rsid w:val="00CC0258"/>
    <w:rsid w:val="00CC04D4"/>
    <w:rsid w:val="00CD4D2F"/>
    <w:rsid w:val="00D021EC"/>
    <w:rsid w:val="00D100A6"/>
    <w:rsid w:val="00D27D2D"/>
    <w:rsid w:val="00D3582C"/>
    <w:rsid w:val="00D3668F"/>
    <w:rsid w:val="00D47F8D"/>
    <w:rsid w:val="00DC2F7B"/>
    <w:rsid w:val="00DE5B32"/>
    <w:rsid w:val="00E4192C"/>
    <w:rsid w:val="00E47924"/>
    <w:rsid w:val="00E54B68"/>
    <w:rsid w:val="00E935CD"/>
    <w:rsid w:val="00E94463"/>
    <w:rsid w:val="00EC35D4"/>
    <w:rsid w:val="00EC3B76"/>
    <w:rsid w:val="00EE5E4C"/>
    <w:rsid w:val="00EF0544"/>
    <w:rsid w:val="00F1693A"/>
    <w:rsid w:val="00F4258D"/>
    <w:rsid w:val="00F44885"/>
    <w:rsid w:val="00F45863"/>
    <w:rsid w:val="00F566A5"/>
    <w:rsid w:val="00F73FD0"/>
    <w:rsid w:val="00F91B33"/>
    <w:rsid w:val="00FC3C64"/>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5277"/>
    <w:rPr>
      <w:sz w:val="16"/>
      <w:szCs w:val="16"/>
    </w:rPr>
  </w:style>
  <w:style w:type="paragraph" w:styleId="CommentText">
    <w:name w:val="annotation text"/>
    <w:basedOn w:val="Normal"/>
    <w:link w:val="CommentTextChar"/>
    <w:uiPriority w:val="99"/>
    <w:semiHidden/>
    <w:unhideWhenUsed/>
    <w:rsid w:val="00925277"/>
    <w:pPr>
      <w:spacing w:line="240" w:lineRule="auto"/>
    </w:pPr>
    <w:rPr>
      <w:sz w:val="20"/>
      <w:szCs w:val="20"/>
    </w:rPr>
  </w:style>
  <w:style w:type="character" w:customStyle="1" w:styleId="CommentTextChar">
    <w:name w:val="Comment Text Char"/>
    <w:basedOn w:val="DefaultParagraphFont"/>
    <w:link w:val="CommentText"/>
    <w:uiPriority w:val="99"/>
    <w:semiHidden/>
    <w:rsid w:val="00925277"/>
    <w:rPr>
      <w:sz w:val="20"/>
      <w:szCs w:val="20"/>
    </w:rPr>
  </w:style>
  <w:style w:type="paragraph" w:styleId="CommentSubject">
    <w:name w:val="annotation subject"/>
    <w:basedOn w:val="CommentText"/>
    <w:next w:val="CommentText"/>
    <w:link w:val="CommentSubjectChar"/>
    <w:uiPriority w:val="99"/>
    <w:semiHidden/>
    <w:unhideWhenUsed/>
    <w:rsid w:val="00925277"/>
    <w:rPr>
      <w:b/>
      <w:bCs/>
    </w:rPr>
  </w:style>
  <w:style w:type="character" w:customStyle="1" w:styleId="CommentSubjectChar">
    <w:name w:val="Comment Subject Char"/>
    <w:basedOn w:val="CommentTextChar"/>
    <w:link w:val="CommentSubject"/>
    <w:uiPriority w:val="99"/>
    <w:semiHidden/>
    <w:rsid w:val="00925277"/>
    <w:rPr>
      <w:b/>
      <w:bCs/>
      <w:sz w:val="20"/>
      <w:szCs w:val="20"/>
    </w:rPr>
  </w:style>
</w:styles>
</file>

<file path=word/webSettings.xml><?xml version="1.0" encoding="utf-8"?>
<w:webSettings xmlns:r="http://schemas.openxmlformats.org/officeDocument/2006/relationships" xmlns:w="http://schemas.openxmlformats.org/wordprocessingml/2006/main">
  <w:divs>
    <w:div w:id="1016343854">
      <w:bodyDiv w:val="1"/>
      <w:marLeft w:val="0"/>
      <w:marRight w:val="0"/>
      <w:marTop w:val="0"/>
      <w:marBottom w:val="0"/>
      <w:divBdr>
        <w:top w:val="none" w:sz="0" w:space="0" w:color="auto"/>
        <w:left w:val="none" w:sz="0" w:space="0" w:color="auto"/>
        <w:bottom w:val="none" w:sz="0" w:space="0" w:color="auto"/>
        <w:right w:val="none" w:sz="0" w:space="0" w:color="auto"/>
      </w:divBdr>
      <w:divsChild>
        <w:div w:id="749666720">
          <w:marLeft w:val="0"/>
          <w:marRight w:val="0"/>
          <w:marTop w:val="0"/>
          <w:marBottom w:val="0"/>
          <w:divBdr>
            <w:top w:val="none" w:sz="0" w:space="0" w:color="auto"/>
            <w:left w:val="none" w:sz="0" w:space="0" w:color="auto"/>
            <w:bottom w:val="none" w:sz="0" w:space="0" w:color="auto"/>
            <w:right w:val="none" w:sz="0" w:space="0" w:color="auto"/>
          </w:divBdr>
        </w:div>
        <w:div w:id="1304192615">
          <w:marLeft w:val="0"/>
          <w:marRight w:val="0"/>
          <w:marTop w:val="0"/>
          <w:marBottom w:val="0"/>
          <w:divBdr>
            <w:top w:val="none" w:sz="0" w:space="0" w:color="auto"/>
            <w:left w:val="none" w:sz="0" w:space="0" w:color="auto"/>
            <w:bottom w:val="none" w:sz="0" w:space="0" w:color="auto"/>
            <w:right w:val="none" w:sz="0" w:space="0" w:color="auto"/>
          </w:divBdr>
        </w:div>
        <w:div w:id="707218400">
          <w:marLeft w:val="0"/>
          <w:marRight w:val="0"/>
          <w:marTop w:val="0"/>
          <w:marBottom w:val="0"/>
          <w:divBdr>
            <w:top w:val="none" w:sz="0" w:space="0" w:color="auto"/>
            <w:left w:val="none" w:sz="0" w:space="0" w:color="auto"/>
            <w:bottom w:val="none" w:sz="0" w:space="0" w:color="auto"/>
            <w:right w:val="none" w:sz="0" w:space="0" w:color="auto"/>
          </w:divBdr>
        </w:div>
        <w:div w:id="2051762789">
          <w:marLeft w:val="0"/>
          <w:marRight w:val="0"/>
          <w:marTop w:val="0"/>
          <w:marBottom w:val="0"/>
          <w:divBdr>
            <w:top w:val="none" w:sz="0" w:space="0" w:color="auto"/>
            <w:left w:val="none" w:sz="0" w:space="0" w:color="auto"/>
            <w:bottom w:val="none" w:sz="0" w:space="0" w:color="auto"/>
            <w:right w:val="none" w:sz="0" w:space="0" w:color="auto"/>
          </w:divBdr>
        </w:div>
        <w:div w:id="153009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63AD-9765-4032-AEAF-B8BAB832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2021-05-27T15:50:00Z</cp:lastPrinted>
  <dcterms:created xsi:type="dcterms:W3CDTF">2021-06-04T11:42:00Z</dcterms:created>
  <dcterms:modified xsi:type="dcterms:W3CDTF">2021-06-04T11:42:00Z</dcterms:modified>
</cp:coreProperties>
</file>