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18730D">
        <w:rPr>
          <w:rFonts w:ascii="Arial" w:eastAsia="Times New Roman" w:hAnsi="Arial" w:cs="Arial"/>
          <w:b/>
          <w:noProof/>
        </w:rPr>
        <w:drawing>
          <wp:inline distT="0" distB="0" distL="0" distR="0" wp14:anchorId="433076B5" wp14:editId="3546D246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</w:rPr>
        <w:t>NATIONAL ASSEMBLY</w:t>
      </w: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18730D" w:rsidRPr="0018730D" w:rsidRDefault="0018730D" w:rsidP="008C229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</w:rPr>
        <w:t>QUESTION FOR WRITTEN REPLY</w:t>
      </w:r>
    </w:p>
    <w:p w:rsidR="0018730D" w:rsidRPr="003317EF" w:rsidRDefault="0018730D" w:rsidP="008C229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3317EF">
        <w:rPr>
          <w:rFonts w:ascii="Arial" w:eastAsia="Times New Roman" w:hAnsi="Arial" w:cs="Arial"/>
          <w:b/>
        </w:rPr>
        <w:t xml:space="preserve">QUESTION NUMBER: </w:t>
      </w:r>
      <w:r w:rsidR="00727CEA">
        <w:rPr>
          <w:rFonts w:ascii="Arial" w:eastAsia="Times New Roman" w:hAnsi="Arial" w:cs="Arial"/>
          <w:b/>
        </w:rPr>
        <w:t>139</w:t>
      </w:r>
      <w:r w:rsidR="009244BD">
        <w:rPr>
          <w:rFonts w:ascii="Arial" w:eastAsia="Times New Roman" w:hAnsi="Arial" w:cs="Arial"/>
          <w:b/>
        </w:rPr>
        <w:t>3</w:t>
      </w:r>
      <w:r w:rsidRPr="003317EF">
        <w:rPr>
          <w:rFonts w:ascii="Arial" w:eastAsia="Times New Roman" w:hAnsi="Arial" w:cs="Arial"/>
          <w:b/>
        </w:rPr>
        <w:t xml:space="preserve"> [NW</w:t>
      </w:r>
      <w:r w:rsidR="002642EC">
        <w:rPr>
          <w:rFonts w:ascii="Arial" w:eastAsia="Times New Roman" w:hAnsi="Arial" w:cs="Arial"/>
          <w:b/>
        </w:rPr>
        <w:t>15</w:t>
      </w:r>
      <w:r w:rsidR="00727CEA">
        <w:rPr>
          <w:rFonts w:ascii="Arial" w:eastAsia="Times New Roman" w:hAnsi="Arial" w:cs="Arial"/>
          <w:b/>
        </w:rPr>
        <w:t>3</w:t>
      </w:r>
      <w:r w:rsidR="009244BD">
        <w:rPr>
          <w:rFonts w:ascii="Arial" w:eastAsia="Times New Roman" w:hAnsi="Arial" w:cs="Arial"/>
          <w:b/>
        </w:rPr>
        <w:t>5</w:t>
      </w:r>
      <w:r w:rsidRPr="003317EF">
        <w:rPr>
          <w:rFonts w:ascii="Arial" w:eastAsia="Times New Roman" w:hAnsi="Arial" w:cs="Arial"/>
          <w:b/>
        </w:rPr>
        <w:t>E]</w:t>
      </w:r>
    </w:p>
    <w:p w:rsidR="0018730D" w:rsidRPr="003317EF" w:rsidRDefault="0018730D" w:rsidP="008C229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3317EF">
        <w:rPr>
          <w:rFonts w:ascii="Arial" w:eastAsia="Times New Roman" w:hAnsi="Arial" w:cs="Arial"/>
          <w:b/>
        </w:rPr>
        <w:t xml:space="preserve">DATE OF PUBLICATION: </w:t>
      </w:r>
      <w:r w:rsidR="002642EC">
        <w:rPr>
          <w:rFonts w:ascii="Arial" w:eastAsia="Times New Roman" w:hAnsi="Arial" w:cs="Arial"/>
          <w:b/>
        </w:rPr>
        <w:t>26</w:t>
      </w:r>
      <w:r w:rsidR="00FF557B" w:rsidRPr="003317EF">
        <w:rPr>
          <w:rFonts w:ascii="Arial" w:eastAsia="Times New Roman" w:hAnsi="Arial" w:cs="Arial"/>
          <w:b/>
        </w:rPr>
        <w:t xml:space="preserve"> MAY 2017</w:t>
      </w:r>
    </w:p>
    <w:p w:rsidR="0018730D" w:rsidRPr="00A128DE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727CEA" w:rsidRPr="00727CEA" w:rsidRDefault="00727CEA" w:rsidP="00727CEA">
      <w:pPr>
        <w:spacing w:before="100" w:beforeAutospacing="1" w:after="100" w:afterAutospacing="1"/>
        <w:ind w:left="816" w:hanging="816"/>
        <w:rPr>
          <w:rFonts w:ascii="Arial" w:eastAsia="Calibri" w:hAnsi="Arial" w:cs="Arial"/>
          <w:b/>
          <w:sz w:val="24"/>
          <w:szCs w:val="24"/>
          <w:lang w:val="en-ZA"/>
        </w:rPr>
      </w:pPr>
      <w:r w:rsidRPr="00727CEA">
        <w:rPr>
          <w:rFonts w:ascii="Arial" w:eastAsia="Calibri" w:hAnsi="Arial" w:cs="Arial"/>
          <w:b/>
          <w:sz w:val="24"/>
          <w:szCs w:val="24"/>
          <w:lang w:val="en-ZA"/>
        </w:rPr>
        <w:t>1393.</w:t>
      </w:r>
      <w:r w:rsidRPr="00727CEA">
        <w:rPr>
          <w:rFonts w:ascii="Arial" w:eastAsia="Calibri" w:hAnsi="Arial" w:cs="Arial"/>
          <w:b/>
          <w:sz w:val="24"/>
          <w:szCs w:val="24"/>
          <w:lang w:val="en-ZA"/>
        </w:rPr>
        <w:tab/>
        <w:t>Mr D J Maynier (DA) to ask the Minister of Finance:</w:t>
      </w:r>
    </w:p>
    <w:p w:rsidR="00727CEA" w:rsidRPr="00727CEA" w:rsidRDefault="00727CEA" w:rsidP="00CE66F5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727CEA">
        <w:rPr>
          <w:rFonts w:ascii="Arial" w:eastAsia="Calibri" w:hAnsi="Arial" w:cs="Arial"/>
          <w:sz w:val="24"/>
          <w:szCs w:val="24"/>
          <w:lang w:val="en-ZA"/>
        </w:rPr>
        <w:t xml:space="preserve">What is the (a) total amount spent by Government and (b) the detailed breakdown of such expenditure, in respect of (i) Standard and </w:t>
      </w:r>
      <w:r w:rsidRPr="00727CEA">
        <w:rPr>
          <w:rFonts w:ascii="Arial" w:eastAsia="Calibri" w:hAnsi="Arial" w:cs="Arial"/>
          <w:sz w:val="24"/>
          <w:szCs w:val="24"/>
          <w:lang w:val="af-ZA"/>
        </w:rPr>
        <w:t>Poor’s</w:t>
      </w:r>
      <w:r w:rsidRPr="00727CEA">
        <w:rPr>
          <w:rFonts w:ascii="Arial" w:eastAsia="Calibri" w:hAnsi="Arial" w:cs="Arial"/>
          <w:sz w:val="24"/>
          <w:szCs w:val="24"/>
          <w:lang w:val="en-ZA"/>
        </w:rPr>
        <w:t xml:space="preserve">, (ii) Moody’s, (iii) Fitch and </w:t>
      </w:r>
      <w:proofErr w:type="gramStart"/>
      <w:r w:rsidRPr="00727CEA">
        <w:rPr>
          <w:rFonts w:ascii="Arial" w:eastAsia="Calibri" w:hAnsi="Arial" w:cs="Arial"/>
          <w:sz w:val="24"/>
          <w:szCs w:val="24"/>
          <w:lang w:val="en-ZA"/>
        </w:rPr>
        <w:t>(iv) any</w:t>
      </w:r>
      <w:proofErr w:type="gramEnd"/>
      <w:r w:rsidRPr="00727CEA">
        <w:rPr>
          <w:rFonts w:ascii="Arial" w:eastAsia="Calibri" w:hAnsi="Arial" w:cs="Arial"/>
          <w:sz w:val="24"/>
          <w:szCs w:val="24"/>
          <w:lang w:val="en-ZA"/>
        </w:rPr>
        <w:t xml:space="preserve"> other ratings agency from 1 April 2008 to date?</w:t>
      </w:r>
      <w:r w:rsidRPr="00727CEA">
        <w:rPr>
          <w:rFonts w:ascii="Arial" w:eastAsia="Calibri" w:hAnsi="Arial" w:cs="Arial"/>
          <w:sz w:val="24"/>
          <w:szCs w:val="24"/>
          <w:lang w:val="en-ZA"/>
        </w:rPr>
        <w:tab/>
      </w:r>
      <w:r w:rsidRPr="00727CEA"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Pr="00727CEA">
        <w:rPr>
          <w:rFonts w:ascii="Arial" w:eastAsia="Calibri" w:hAnsi="Arial" w:cs="Arial"/>
          <w:sz w:val="24"/>
          <w:szCs w:val="24"/>
          <w:lang w:val="en-ZA"/>
        </w:rPr>
        <w:tab/>
        <w:t>NW1535E</w:t>
      </w:r>
    </w:p>
    <w:p w:rsidR="0018730D" w:rsidRPr="00727CEA" w:rsidRDefault="0018730D" w:rsidP="00727CEA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27CEA">
        <w:rPr>
          <w:rFonts w:ascii="Arial" w:eastAsia="Times New Roman" w:hAnsi="Arial" w:cs="Arial"/>
          <w:b/>
          <w:sz w:val="24"/>
          <w:szCs w:val="24"/>
        </w:rPr>
        <w:t>REPLY:</w:t>
      </w:r>
    </w:p>
    <w:p w:rsidR="0018730D" w:rsidRPr="00A128DE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CE66F5" w:rsidRPr="00CE66F5" w:rsidRDefault="00CE66F5" w:rsidP="00CE66F5">
      <w:pPr>
        <w:pStyle w:val="ListParagraph"/>
        <w:numPr>
          <w:ilvl w:val="0"/>
          <w:numId w:val="1"/>
        </w:numPr>
        <w:tabs>
          <w:tab w:val="left" w:pos="432"/>
          <w:tab w:val="left" w:pos="864"/>
        </w:tabs>
        <w:spacing w:after="0"/>
        <w:ind w:hanging="720"/>
        <w:rPr>
          <w:rFonts w:ascii="Arial" w:eastAsia="Calibri" w:hAnsi="Arial" w:cs="Arial"/>
          <w:sz w:val="24"/>
          <w:szCs w:val="24"/>
          <w:lang w:val="en-ZA"/>
        </w:rPr>
      </w:pPr>
      <w:r w:rsidRPr="00CE66F5">
        <w:rPr>
          <w:rFonts w:ascii="Arial" w:eastAsia="Calibri" w:hAnsi="Arial" w:cs="Arial"/>
          <w:sz w:val="24"/>
          <w:szCs w:val="24"/>
          <w:lang w:val="en-ZA"/>
        </w:rPr>
        <w:t>Total amount spent by Government</w:t>
      </w:r>
      <w:r w:rsidR="00FB2D4B">
        <w:rPr>
          <w:rFonts w:ascii="Arial" w:eastAsia="Calibri" w:hAnsi="Arial" w:cs="Arial"/>
          <w:sz w:val="24"/>
          <w:szCs w:val="24"/>
          <w:lang w:val="en-ZA"/>
        </w:rPr>
        <w:t xml:space="preserve"> on rating agencies fees</w:t>
      </w:r>
    </w:p>
    <w:p w:rsidR="00A128DE" w:rsidRPr="00A128DE" w:rsidRDefault="00FB2D4B" w:rsidP="00A128DE">
      <w:pPr>
        <w:spacing w:after="0"/>
        <w:rPr>
          <w:rFonts w:ascii="Arial" w:eastAsia="Calibri" w:hAnsi="Arial" w:cs="Arial"/>
          <w:sz w:val="16"/>
          <w:szCs w:val="16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FB2D4B" w:rsidRDefault="00FB2D4B" w:rsidP="00A128DE">
      <w:pPr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South Africa has solicited the credit rating services of Moody’s Investors Services (Moody’s), S&amp;P Global Ratings (S&amp;P), Fitch Ratings (Fitch) and the Japanese’ Ratings and Investment Information, Inc. (R&amp;I). In terms of the contractual agreements, the government has to pay fees to the rating agencies for the services rendered. </w:t>
      </w:r>
    </w:p>
    <w:p w:rsidR="00CE66F5" w:rsidRDefault="00FB2D4B" w:rsidP="00A128DE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Since April 2008 to May 2017, a total amount of   </w:t>
      </w:r>
      <w:r w:rsidR="00CE66F5" w:rsidRPr="00724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R 81 451</w:t>
      </w:r>
      <w:r w:rsidR="000107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CE66F5" w:rsidRPr="00724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873</w:t>
      </w:r>
      <w:r w:rsidR="0001075F">
        <w:rPr>
          <w:rFonts w:ascii="Arial" w:eastAsia="Times New Roman" w:hAnsi="Arial" w:cs="Arial"/>
          <w:b/>
          <w:bCs/>
          <w:color w:val="000000"/>
          <w:sz w:val="24"/>
          <w:szCs w:val="24"/>
        </w:rPr>
        <w:t>.00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has been paid to the rating agencies</w:t>
      </w:r>
      <w:r w:rsidR="00315AA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The table below illustrates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total </w:t>
      </w:r>
      <w:r w:rsidR="0075018E">
        <w:rPr>
          <w:rFonts w:ascii="Arial" w:eastAsia="Times New Roman" w:hAnsi="Arial" w:cs="Arial"/>
          <w:bCs/>
          <w:color w:val="000000"/>
          <w:sz w:val="24"/>
          <w:szCs w:val="24"/>
        </w:rPr>
        <w:t>spent in rands 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ade to all </w:t>
      </w:r>
      <w:r w:rsidR="0075018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four solicited credit rating agencies</w:t>
      </w:r>
      <w:r w:rsidR="0075018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S&amp;P is the highest paid rating agency followed by Moody’s. </w:t>
      </w:r>
    </w:p>
    <w:p w:rsidR="00315AA0" w:rsidRDefault="00724644" w:rsidP="00FB2D4B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24644">
        <w:rPr>
          <w:noProof/>
        </w:rPr>
        <w:drawing>
          <wp:inline distT="0" distB="0" distL="0" distR="0" wp14:anchorId="69077BD5" wp14:editId="5F268048">
            <wp:extent cx="6256867" cy="10583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93" cy="10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A0" w:rsidRPr="00CE66F5" w:rsidRDefault="00315AA0" w:rsidP="00CE66F5">
      <w:pPr>
        <w:ind w:firstLine="45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E66F5" w:rsidRDefault="00CE66F5" w:rsidP="00CE66F5">
      <w:pPr>
        <w:pStyle w:val="ListParagraph"/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</w:p>
    <w:p w:rsidR="00CE66F5" w:rsidRDefault="00CE66F5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 w:rsidRPr="00727CEA">
        <w:rPr>
          <w:rFonts w:ascii="Arial" w:eastAsia="Calibri" w:hAnsi="Arial" w:cs="Arial"/>
          <w:sz w:val="24"/>
          <w:szCs w:val="24"/>
          <w:lang w:val="en-ZA"/>
        </w:rPr>
        <w:lastRenderedPageBreak/>
        <w:t>(b) The detailed breakdown of such expenditure</w:t>
      </w:r>
      <w:r w:rsidR="004F35DD">
        <w:rPr>
          <w:rFonts w:ascii="Arial" w:eastAsia="Calibri" w:hAnsi="Arial" w:cs="Arial"/>
          <w:sz w:val="24"/>
          <w:szCs w:val="24"/>
          <w:lang w:val="en-ZA"/>
        </w:rPr>
        <w:t xml:space="preserve"> per rating agency:</w:t>
      </w:r>
      <w:r w:rsidRPr="00727CEA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4F35DD" w:rsidRDefault="004F35DD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</w:p>
    <w:p w:rsidR="00FB2D4B" w:rsidRDefault="00CE66F5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 w:rsidRPr="00727CEA">
        <w:rPr>
          <w:rFonts w:ascii="Arial" w:eastAsia="Calibri" w:hAnsi="Arial" w:cs="Arial"/>
          <w:sz w:val="24"/>
          <w:szCs w:val="24"/>
          <w:lang w:val="en-ZA"/>
        </w:rPr>
        <w:t xml:space="preserve">(i) </w:t>
      </w:r>
      <w:r w:rsidR="00FB2D4B">
        <w:rPr>
          <w:rFonts w:ascii="Arial" w:eastAsia="Calibri" w:hAnsi="Arial" w:cs="Arial"/>
          <w:sz w:val="24"/>
          <w:szCs w:val="24"/>
          <w:lang w:val="en-ZA"/>
        </w:rPr>
        <w:t>S&amp;P</w:t>
      </w:r>
      <w:r w:rsidR="004F35DD">
        <w:rPr>
          <w:rFonts w:ascii="Arial" w:eastAsia="Calibri" w:hAnsi="Arial" w:cs="Arial"/>
          <w:sz w:val="24"/>
          <w:szCs w:val="24"/>
          <w:lang w:val="en-ZA"/>
        </w:rPr>
        <w:t>:</w:t>
      </w:r>
    </w:p>
    <w:p w:rsidR="004F35DD" w:rsidRDefault="004F35DD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16"/>
          <w:szCs w:val="16"/>
          <w:lang w:val="en-ZA"/>
        </w:rPr>
      </w:pPr>
    </w:p>
    <w:p w:rsidR="005354AF" w:rsidRPr="005354AF" w:rsidRDefault="005354AF" w:rsidP="00A128DE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5354AF">
        <w:rPr>
          <w:rFonts w:ascii="Arial" w:eastAsia="Calibri" w:hAnsi="Arial" w:cs="Arial"/>
          <w:sz w:val="24"/>
          <w:szCs w:val="24"/>
          <w:lang w:val="en-ZA"/>
        </w:rPr>
        <w:t>S&amp;P</w:t>
      </w:r>
      <w:r w:rsidR="00A401AC">
        <w:rPr>
          <w:rFonts w:ascii="Arial" w:eastAsia="Calibri" w:hAnsi="Arial" w:cs="Arial"/>
          <w:sz w:val="24"/>
          <w:szCs w:val="24"/>
          <w:lang w:val="en-ZA"/>
        </w:rPr>
        <w:t>’s</w:t>
      </w:r>
      <w:r w:rsidRPr="005354AF">
        <w:rPr>
          <w:rFonts w:ascii="Arial" w:eastAsia="Calibri" w:hAnsi="Arial" w:cs="Arial"/>
          <w:sz w:val="24"/>
          <w:szCs w:val="24"/>
          <w:lang w:val="en-ZA"/>
        </w:rPr>
        <w:t xml:space="preserve"> annual rating fees</w:t>
      </w:r>
      <w:r w:rsidR="00A401AC">
        <w:rPr>
          <w:rFonts w:ascii="Arial" w:eastAsia="Calibri" w:hAnsi="Arial" w:cs="Arial"/>
          <w:sz w:val="24"/>
          <w:szCs w:val="24"/>
          <w:lang w:val="en-ZA"/>
        </w:rPr>
        <w:t xml:space="preserve"> are based on</w:t>
      </w:r>
      <w:r w:rsidR="0075018E">
        <w:rPr>
          <w:rFonts w:ascii="Arial" w:eastAsia="Calibri" w:hAnsi="Arial" w:cs="Arial"/>
          <w:sz w:val="24"/>
          <w:szCs w:val="24"/>
          <w:lang w:val="en-ZA"/>
        </w:rPr>
        <w:t>:</w:t>
      </w:r>
      <w:r w:rsidRPr="005354AF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4F35DD" w:rsidRDefault="00FB2D4B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4F35DD">
        <w:rPr>
          <w:rFonts w:ascii="Arial" w:eastAsia="Calibri" w:hAnsi="Arial" w:cs="Arial"/>
          <w:sz w:val="24"/>
          <w:szCs w:val="24"/>
          <w:lang w:val="en-ZA"/>
        </w:rPr>
        <w:t xml:space="preserve">Annual </w:t>
      </w:r>
      <w:r w:rsidR="00ED61E3">
        <w:rPr>
          <w:rFonts w:ascii="Arial" w:eastAsia="Calibri" w:hAnsi="Arial" w:cs="Arial"/>
          <w:sz w:val="24"/>
          <w:szCs w:val="24"/>
          <w:lang w:val="en-ZA"/>
        </w:rPr>
        <w:t>s</w:t>
      </w:r>
      <w:r w:rsidR="004F35DD" w:rsidRPr="004F35DD">
        <w:rPr>
          <w:rFonts w:ascii="Arial" w:eastAsia="Calibri" w:hAnsi="Arial" w:cs="Arial"/>
          <w:sz w:val="24"/>
          <w:szCs w:val="24"/>
          <w:lang w:val="en-ZA"/>
        </w:rPr>
        <w:t>urveillance</w:t>
      </w:r>
      <w:r w:rsidR="004F35DD">
        <w:rPr>
          <w:rFonts w:ascii="Arial" w:eastAsia="Calibri" w:hAnsi="Arial" w:cs="Arial"/>
          <w:sz w:val="24"/>
          <w:szCs w:val="24"/>
          <w:lang w:val="en-ZA"/>
        </w:rPr>
        <w:t>;</w:t>
      </w:r>
      <w:r w:rsidRPr="004F35DD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4F35DD" w:rsidRDefault="004F35DD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 of long term debt issuances</w:t>
      </w:r>
      <w:r w:rsidR="000B36F8">
        <w:rPr>
          <w:rFonts w:ascii="Arial" w:eastAsia="Calibri" w:hAnsi="Arial" w:cs="Arial"/>
          <w:sz w:val="24"/>
          <w:szCs w:val="24"/>
          <w:lang w:val="en-ZA"/>
        </w:rPr>
        <w:t>;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4F35DD" w:rsidRDefault="004F35DD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Ratings of short term debt issuances</w:t>
      </w:r>
      <w:r w:rsidR="000B36F8">
        <w:rPr>
          <w:rFonts w:ascii="Arial" w:eastAsia="Calibri" w:hAnsi="Arial" w:cs="Arial"/>
          <w:sz w:val="24"/>
          <w:szCs w:val="24"/>
          <w:lang w:val="en-ZA"/>
        </w:rPr>
        <w:t>; and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FB2D4B" w:rsidRDefault="004F35DD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4F35DD">
        <w:rPr>
          <w:rFonts w:ascii="Arial" w:eastAsia="Calibri" w:hAnsi="Arial" w:cs="Arial"/>
          <w:sz w:val="24"/>
          <w:szCs w:val="24"/>
          <w:lang w:val="en-ZA"/>
        </w:rPr>
        <w:t xml:space="preserve">Ratings of </w:t>
      </w:r>
      <w:r w:rsidR="000B36F8">
        <w:rPr>
          <w:rFonts w:ascii="Arial" w:eastAsia="Calibri" w:hAnsi="Arial" w:cs="Arial"/>
          <w:sz w:val="24"/>
          <w:szCs w:val="24"/>
          <w:lang w:val="en-ZA"/>
        </w:rPr>
        <w:t>the C</w:t>
      </w:r>
      <w:r w:rsidRPr="004F35DD">
        <w:rPr>
          <w:rFonts w:ascii="Arial" w:eastAsia="Calibri" w:hAnsi="Arial" w:cs="Arial"/>
          <w:sz w:val="24"/>
          <w:szCs w:val="24"/>
          <w:lang w:val="en-ZA"/>
        </w:rPr>
        <w:t xml:space="preserve">ommercial </w:t>
      </w:r>
      <w:r w:rsidR="000B36F8">
        <w:rPr>
          <w:rFonts w:ascii="Arial" w:eastAsia="Calibri" w:hAnsi="Arial" w:cs="Arial"/>
          <w:sz w:val="24"/>
          <w:szCs w:val="24"/>
          <w:lang w:val="en-ZA"/>
        </w:rPr>
        <w:t>P</w:t>
      </w:r>
      <w:r w:rsidRPr="004F35DD">
        <w:rPr>
          <w:rFonts w:ascii="Arial" w:eastAsia="Calibri" w:hAnsi="Arial" w:cs="Arial"/>
          <w:sz w:val="24"/>
          <w:szCs w:val="24"/>
          <w:lang w:val="en-ZA"/>
        </w:rPr>
        <w:t>aper and Medium Term Notes</w:t>
      </w:r>
      <w:r w:rsidR="000B36F8">
        <w:rPr>
          <w:rFonts w:ascii="Arial" w:eastAsia="Calibri" w:hAnsi="Arial" w:cs="Arial"/>
          <w:sz w:val="24"/>
          <w:szCs w:val="24"/>
          <w:lang w:val="en-ZA"/>
        </w:rPr>
        <w:t>.</w:t>
      </w:r>
    </w:p>
    <w:p w:rsidR="004F35DD" w:rsidRDefault="004F35DD" w:rsidP="00A128DE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CE66F5" w:rsidRDefault="000B36F8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(ii) Moody’s:</w:t>
      </w:r>
    </w:p>
    <w:p w:rsidR="000B36F8" w:rsidRDefault="000B36F8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</w:p>
    <w:p w:rsidR="005354AF" w:rsidRDefault="005354AF" w:rsidP="00A128DE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Moody’s</w:t>
      </w:r>
      <w:r w:rsidR="00A401AC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annual and quarterly </w:t>
      </w:r>
      <w:r w:rsidR="00ED61E3">
        <w:rPr>
          <w:rFonts w:ascii="Arial" w:eastAsia="Calibri" w:hAnsi="Arial" w:cs="Arial"/>
          <w:sz w:val="24"/>
          <w:szCs w:val="24"/>
          <w:lang w:val="en-ZA"/>
        </w:rPr>
        <w:t xml:space="preserve">rating </w:t>
      </w:r>
      <w:r>
        <w:rPr>
          <w:rFonts w:ascii="Arial" w:eastAsia="Calibri" w:hAnsi="Arial" w:cs="Arial"/>
          <w:sz w:val="24"/>
          <w:szCs w:val="24"/>
          <w:lang w:val="en-ZA"/>
        </w:rPr>
        <w:t>fees</w:t>
      </w:r>
      <w:r w:rsidR="00A401AC">
        <w:rPr>
          <w:rFonts w:ascii="Arial" w:eastAsia="Calibri" w:hAnsi="Arial" w:cs="Arial"/>
          <w:sz w:val="24"/>
          <w:szCs w:val="24"/>
          <w:lang w:val="en-ZA"/>
        </w:rPr>
        <w:t xml:space="preserve"> are based on</w:t>
      </w:r>
      <w:r>
        <w:rPr>
          <w:rFonts w:ascii="Arial" w:eastAsia="Calibri" w:hAnsi="Arial" w:cs="Arial"/>
          <w:sz w:val="24"/>
          <w:szCs w:val="24"/>
          <w:lang w:val="en-ZA"/>
        </w:rPr>
        <w:t>:</w:t>
      </w:r>
    </w:p>
    <w:p w:rsidR="00B93117" w:rsidRDefault="00A401AC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Annual and quarterly credit surveillance</w:t>
      </w:r>
      <w:r w:rsidR="00B93117">
        <w:rPr>
          <w:rFonts w:ascii="Arial" w:eastAsia="Calibri" w:hAnsi="Arial" w:cs="Arial"/>
          <w:sz w:val="24"/>
          <w:szCs w:val="24"/>
          <w:lang w:val="en-ZA"/>
        </w:rPr>
        <w:t>;</w:t>
      </w:r>
    </w:p>
    <w:p w:rsidR="00A401AC" w:rsidRDefault="00A401AC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Ratings of all Non-US </w:t>
      </w:r>
      <w:r w:rsidRPr="004F35DD">
        <w:rPr>
          <w:rFonts w:ascii="Arial" w:eastAsia="Calibri" w:hAnsi="Arial" w:cs="Arial"/>
          <w:sz w:val="24"/>
          <w:szCs w:val="24"/>
          <w:lang w:val="en-ZA"/>
        </w:rPr>
        <w:t>Medium Term Notes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Programs</w:t>
      </w:r>
      <w:r w:rsidR="00B93117">
        <w:rPr>
          <w:rFonts w:ascii="Arial" w:eastAsia="Calibri" w:hAnsi="Arial" w:cs="Arial"/>
          <w:sz w:val="24"/>
          <w:szCs w:val="24"/>
          <w:lang w:val="en-ZA"/>
        </w:rPr>
        <w:t>;</w:t>
      </w:r>
    </w:p>
    <w:p w:rsidR="00A401AC" w:rsidRDefault="00A401AC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Ratings of all US Medium Term Notes</w:t>
      </w:r>
      <w:r w:rsidR="00B93117">
        <w:rPr>
          <w:rFonts w:ascii="Arial" w:eastAsia="Calibri" w:hAnsi="Arial" w:cs="Arial"/>
          <w:sz w:val="24"/>
          <w:szCs w:val="24"/>
          <w:lang w:val="en-ZA"/>
        </w:rPr>
        <w:t>;</w:t>
      </w:r>
    </w:p>
    <w:p w:rsidR="00A401AC" w:rsidRDefault="00A401AC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Ratings of all Global Medium Term Notes Programs</w:t>
      </w:r>
      <w:r w:rsidR="00B93117">
        <w:rPr>
          <w:rFonts w:ascii="Arial" w:eastAsia="Calibri" w:hAnsi="Arial" w:cs="Arial"/>
          <w:sz w:val="24"/>
          <w:szCs w:val="24"/>
          <w:lang w:val="en-ZA"/>
        </w:rPr>
        <w:t>;</w:t>
      </w:r>
    </w:p>
    <w:p w:rsidR="00A401AC" w:rsidRDefault="00A401AC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Ratings of all Commercial Paper/Short Term;</w:t>
      </w:r>
      <w:r w:rsidR="00B93117">
        <w:rPr>
          <w:rFonts w:ascii="Arial" w:eastAsia="Calibri" w:hAnsi="Arial" w:cs="Arial"/>
          <w:sz w:val="24"/>
          <w:szCs w:val="24"/>
          <w:lang w:val="en-ZA"/>
        </w:rPr>
        <w:t xml:space="preserve"> and</w:t>
      </w:r>
    </w:p>
    <w:p w:rsidR="00A401AC" w:rsidRDefault="00B93117" w:rsidP="00A128DE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Ratings of all l</w:t>
      </w:r>
      <w:r w:rsidR="00A401AC">
        <w:rPr>
          <w:rFonts w:ascii="Arial" w:eastAsia="Calibri" w:hAnsi="Arial" w:cs="Arial"/>
          <w:sz w:val="24"/>
          <w:szCs w:val="24"/>
          <w:lang w:val="en-ZA"/>
        </w:rPr>
        <w:t xml:space="preserve">ong term debt issuances and Medium Term Notes sales in all markets including local currency </w:t>
      </w:r>
      <w:r w:rsidR="0075018E">
        <w:rPr>
          <w:rFonts w:ascii="Arial" w:eastAsia="Calibri" w:hAnsi="Arial" w:cs="Arial"/>
          <w:sz w:val="24"/>
          <w:szCs w:val="24"/>
          <w:lang w:val="en-ZA"/>
        </w:rPr>
        <w:t xml:space="preserve">debt </w:t>
      </w:r>
      <w:r w:rsidR="00A401AC">
        <w:rPr>
          <w:rFonts w:ascii="Arial" w:eastAsia="Calibri" w:hAnsi="Arial" w:cs="Arial"/>
          <w:sz w:val="24"/>
          <w:szCs w:val="24"/>
          <w:lang w:val="en-ZA"/>
        </w:rPr>
        <w:t>issuances</w:t>
      </w:r>
      <w:r>
        <w:rPr>
          <w:rFonts w:ascii="Arial" w:eastAsia="Calibri" w:hAnsi="Arial" w:cs="Arial"/>
          <w:sz w:val="24"/>
          <w:szCs w:val="24"/>
          <w:lang w:val="en-ZA"/>
        </w:rPr>
        <w:t>.</w:t>
      </w:r>
      <w:r w:rsidR="00A401AC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0B36F8" w:rsidRDefault="000B36F8" w:rsidP="00A128DE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CE66F5" w:rsidRDefault="00CE66F5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 w:rsidRPr="00727CEA">
        <w:rPr>
          <w:rFonts w:ascii="Arial" w:eastAsia="Calibri" w:hAnsi="Arial" w:cs="Arial"/>
          <w:sz w:val="24"/>
          <w:szCs w:val="24"/>
          <w:lang w:val="en-ZA"/>
        </w:rPr>
        <w:t>(iii) Fitch</w:t>
      </w:r>
    </w:p>
    <w:p w:rsidR="00ED61E3" w:rsidRDefault="00ED61E3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</w:p>
    <w:p w:rsidR="00D222A9" w:rsidRDefault="00ED61E3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Fitch’s annual rating fees are based on:</w:t>
      </w:r>
    </w:p>
    <w:p w:rsidR="00ED61E3" w:rsidRDefault="00ED61E3" w:rsidP="00ED61E3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Annual surveillance;</w:t>
      </w:r>
    </w:p>
    <w:p w:rsidR="00ED61E3" w:rsidRDefault="00ED61E3" w:rsidP="00ED61E3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Ratings of debt issuance; and</w:t>
      </w:r>
    </w:p>
    <w:p w:rsidR="00ED61E3" w:rsidRPr="00ED61E3" w:rsidRDefault="00ED61E3" w:rsidP="00ED61E3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Expense reimbursement for reasonable travel and lodging expense incurred during the annual rating mission to the Republic of South Africa. </w:t>
      </w:r>
    </w:p>
    <w:p w:rsidR="00ED61E3" w:rsidRDefault="00ED61E3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</w:p>
    <w:p w:rsidR="0018730D" w:rsidRDefault="00CE66F5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 w:rsidRPr="00727CEA">
        <w:rPr>
          <w:rFonts w:ascii="Arial" w:eastAsia="Calibri" w:hAnsi="Arial" w:cs="Arial"/>
          <w:sz w:val="24"/>
          <w:szCs w:val="24"/>
          <w:lang w:val="en-ZA"/>
        </w:rPr>
        <w:t xml:space="preserve">(iv) </w:t>
      </w:r>
      <w:r w:rsidR="00D222A9">
        <w:rPr>
          <w:rFonts w:ascii="Arial" w:eastAsia="Calibri" w:hAnsi="Arial" w:cs="Arial"/>
          <w:sz w:val="24"/>
          <w:szCs w:val="24"/>
          <w:lang w:val="en-ZA"/>
        </w:rPr>
        <w:t>R&amp;I</w:t>
      </w:r>
      <w:r w:rsidRPr="00727CEA">
        <w:rPr>
          <w:rFonts w:ascii="Arial" w:eastAsia="Calibri" w:hAnsi="Arial" w:cs="Arial"/>
          <w:sz w:val="24"/>
          <w:szCs w:val="24"/>
          <w:lang w:val="en-ZA"/>
        </w:rPr>
        <w:tab/>
      </w:r>
    </w:p>
    <w:p w:rsidR="00DC06AB" w:rsidRDefault="00DC06AB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</w:p>
    <w:p w:rsidR="00DC06AB" w:rsidRDefault="00DC06AB" w:rsidP="00CE66F5">
      <w:p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R&amp;I’s annual rating fee is based on:</w:t>
      </w:r>
    </w:p>
    <w:p w:rsidR="00DC06AB" w:rsidRDefault="00DC06AB" w:rsidP="00DC06A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On-going surveillance of the credit rating</w:t>
      </w:r>
    </w:p>
    <w:p w:rsidR="00DC06AB" w:rsidRDefault="00DC06AB" w:rsidP="00DC06A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Foreign currency issuer rating;</w:t>
      </w:r>
    </w:p>
    <w:p w:rsidR="00DC06AB" w:rsidRDefault="00DC06AB" w:rsidP="00DC06A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Domestic currency issuer rating; and</w:t>
      </w:r>
    </w:p>
    <w:p w:rsidR="00DC06AB" w:rsidRPr="00DC06AB" w:rsidRDefault="00DC06AB" w:rsidP="00DC06A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after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Foreign currency short term rating.</w:t>
      </w:r>
    </w:p>
    <w:p w:rsidR="0018730D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DC06AB" w:rsidRDefault="00DC06AB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DC06AB" w:rsidRPr="0018730D" w:rsidRDefault="00DC06AB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0439C6" w:rsidRDefault="000439C6" w:rsidP="0018730D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439C6" w:rsidRDefault="000439C6" w:rsidP="0018730D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439C6" w:rsidRDefault="000439C6" w:rsidP="0018730D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0439C6" w:rsidSect="00FB2D4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82C"/>
    <w:multiLevelType w:val="hybridMultilevel"/>
    <w:tmpl w:val="F14A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A54"/>
    <w:multiLevelType w:val="hybridMultilevel"/>
    <w:tmpl w:val="BFEC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5879"/>
    <w:multiLevelType w:val="hybridMultilevel"/>
    <w:tmpl w:val="A934CB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9BA1CEC"/>
    <w:multiLevelType w:val="hybridMultilevel"/>
    <w:tmpl w:val="807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B6D55"/>
    <w:multiLevelType w:val="hybridMultilevel"/>
    <w:tmpl w:val="9BF46CEA"/>
    <w:lvl w:ilvl="0" w:tplc="1C02F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1075F"/>
    <w:rsid w:val="000223FA"/>
    <w:rsid w:val="000439C6"/>
    <w:rsid w:val="000B36F8"/>
    <w:rsid w:val="00184620"/>
    <w:rsid w:val="0018730D"/>
    <w:rsid w:val="002642EC"/>
    <w:rsid w:val="002A4205"/>
    <w:rsid w:val="00315AA0"/>
    <w:rsid w:val="003317EF"/>
    <w:rsid w:val="00354837"/>
    <w:rsid w:val="00462388"/>
    <w:rsid w:val="004F35DD"/>
    <w:rsid w:val="005354AF"/>
    <w:rsid w:val="005F445B"/>
    <w:rsid w:val="006715AB"/>
    <w:rsid w:val="00724644"/>
    <w:rsid w:val="00727CEA"/>
    <w:rsid w:val="0075018E"/>
    <w:rsid w:val="008C2291"/>
    <w:rsid w:val="009244BD"/>
    <w:rsid w:val="00942D61"/>
    <w:rsid w:val="009A6FEC"/>
    <w:rsid w:val="00A128DE"/>
    <w:rsid w:val="00A21306"/>
    <w:rsid w:val="00A401AC"/>
    <w:rsid w:val="00A97663"/>
    <w:rsid w:val="00B93117"/>
    <w:rsid w:val="00C96914"/>
    <w:rsid w:val="00CE66F5"/>
    <w:rsid w:val="00D222A9"/>
    <w:rsid w:val="00DC06AB"/>
    <w:rsid w:val="00ED61E3"/>
    <w:rsid w:val="00F57CA3"/>
    <w:rsid w:val="00FB2D4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3</cp:revision>
  <cp:lastPrinted>2017-05-31T07:05:00Z</cp:lastPrinted>
  <dcterms:created xsi:type="dcterms:W3CDTF">2017-06-05T11:40:00Z</dcterms:created>
  <dcterms:modified xsi:type="dcterms:W3CDTF">2017-06-05T12:11:00Z</dcterms:modified>
</cp:coreProperties>
</file>