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C1DE5">
        <w:rPr>
          <w:b/>
          <w:bCs/>
          <w:sz w:val="24"/>
          <w:u w:val="single"/>
        </w:rPr>
        <w:t>137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D53121">
        <w:rPr>
          <w:b/>
          <w:bCs/>
          <w:sz w:val="24"/>
          <w:u w:val="single"/>
        </w:rPr>
        <w:t>8</w:t>
      </w:r>
      <w:r w:rsidR="00145C76">
        <w:rPr>
          <w:b/>
          <w:bCs/>
          <w:sz w:val="24"/>
          <w:u w:val="single"/>
        </w:rPr>
        <w:t xml:space="preserve"> </w:t>
      </w:r>
      <w:r w:rsidR="00360D5F">
        <w:rPr>
          <w:b/>
          <w:bCs/>
          <w:sz w:val="24"/>
          <w:u w:val="single"/>
        </w:rPr>
        <w:t xml:space="preserve">JUNE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D53121">
        <w:rPr>
          <w:b/>
          <w:bCs/>
          <w:sz w:val="24"/>
          <w:u w:val="single"/>
        </w:rPr>
        <w:t>2</w:t>
      </w:r>
      <w:r w:rsidRPr="00294557">
        <w:rPr>
          <w:b/>
          <w:bCs/>
          <w:sz w:val="24"/>
          <w:u w:val="single"/>
        </w:rPr>
        <w:t>)</w:t>
      </w:r>
    </w:p>
    <w:p w:rsidR="00FC1DE5" w:rsidRPr="00FC1DE5" w:rsidRDefault="00FC1DE5" w:rsidP="00FC1DE5">
      <w:pPr>
        <w:spacing w:before="100" w:beforeAutospacing="1" w:after="100" w:afterAutospacing="1"/>
        <w:ind w:left="720" w:hanging="720"/>
        <w:jc w:val="both"/>
        <w:outlineLvl w:val="0"/>
        <w:rPr>
          <w:b/>
          <w:noProof/>
          <w:sz w:val="24"/>
          <w:u w:val="single"/>
        </w:rPr>
      </w:pPr>
      <w:r w:rsidRPr="00FC1DE5">
        <w:rPr>
          <w:b/>
          <w:noProof/>
          <w:sz w:val="24"/>
          <w:u w:val="single"/>
        </w:rPr>
        <w:t xml:space="preserve">Ms S </w:t>
      </w:r>
      <w:r w:rsidRPr="00FC1DE5">
        <w:rPr>
          <w:b/>
          <w:sz w:val="24"/>
          <w:u w:val="single"/>
        </w:rPr>
        <w:t>Gwarube</w:t>
      </w:r>
      <w:r w:rsidRPr="00FC1DE5">
        <w:rPr>
          <w:b/>
          <w:noProof/>
          <w:sz w:val="24"/>
          <w:u w:val="single"/>
        </w:rPr>
        <w:t xml:space="preserve"> (DA) to ask the Minister of Health: </w:t>
      </w:r>
    </w:p>
    <w:p w:rsidR="00786C98" w:rsidRPr="00FC1DE5" w:rsidRDefault="00FC1DE5" w:rsidP="00FC1DE5">
      <w:pPr>
        <w:spacing w:before="100" w:beforeAutospacing="1" w:after="100" w:afterAutospacing="1"/>
        <w:ind w:firstLine="11"/>
        <w:jc w:val="both"/>
        <w:rPr>
          <w:noProof/>
          <w:sz w:val="24"/>
          <w:lang w:val="af-ZA"/>
        </w:rPr>
      </w:pPr>
      <w:r w:rsidRPr="00FC1DE5">
        <w:rPr>
          <w:sz w:val="24"/>
        </w:rPr>
        <w:t xml:space="preserve">What </w:t>
      </w:r>
      <w:r w:rsidRPr="00FC1DE5">
        <w:rPr>
          <w:rFonts w:eastAsia="Calibri"/>
          <w:sz w:val="24"/>
        </w:rPr>
        <w:t>amount</w:t>
      </w:r>
      <w:r w:rsidRPr="00FC1DE5">
        <w:rPr>
          <w:sz w:val="24"/>
        </w:rPr>
        <w:t xml:space="preserve"> has been spent on each pilot project of the National Health Insurance since the inception of the programme?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E2A6D">
        <w:rPr>
          <w:color w:val="000000"/>
        </w:rPr>
        <w:t>10</w:t>
      </w:r>
      <w:r w:rsidR="00FC1DE5">
        <w:rPr>
          <w:color w:val="000000"/>
        </w:rPr>
        <w:t>98</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A904DA" w:rsidRPr="008743D4" w:rsidRDefault="00A904DA" w:rsidP="00A904DA">
      <w:pPr>
        <w:rPr>
          <w:b/>
          <w:bCs/>
          <w:sz w:val="24"/>
          <w:u w:val="single"/>
          <w:lang w:val="en-US"/>
        </w:rPr>
      </w:pPr>
    </w:p>
    <w:p w:rsidR="00BC5F03" w:rsidRPr="00BC5F03" w:rsidRDefault="00BC5F03" w:rsidP="00BC5F03">
      <w:pPr>
        <w:pStyle w:val="BodyText"/>
        <w:rPr>
          <w:sz w:val="24"/>
        </w:rPr>
      </w:pPr>
      <w:r w:rsidRPr="00BC5F03">
        <w:rPr>
          <w:sz w:val="24"/>
        </w:rPr>
        <w:t>The health system strengthening initiatives were implement in the NHI pilot districts. There initiatives were funded through conditional grants. The grant funding related to the following activities:</w:t>
      </w:r>
    </w:p>
    <w:p w:rsidR="00BC5F03" w:rsidRPr="00BC5F03" w:rsidRDefault="00BC5F03" w:rsidP="00BC5F03">
      <w:pPr>
        <w:pStyle w:val="BodyText"/>
        <w:rPr>
          <w:sz w:val="24"/>
        </w:rPr>
      </w:pPr>
    </w:p>
    <w:p w:rsidR="00BC5F03" w:rsidRPr="00BC5F03" w:rsidRDefault="00BC5F03" w:rsidP="00BC5F03">
      <w:pPr>
        <w:pStyle w:val="BodyText"/>
        <w:rPr>
          <w:sz w:val="24"/>
        </w:rPr>
      </w:pPr>
      <w:r w:rsidRPr="00BC5F03">
        <w:rPr>
          <w:sz w:val="24"/>
        </w:rPr>
        <w:t>The ward based primary healthcare outreach teams which were responsible for the provision of primary healthcare to families/households; community outreach services; preventative, promotive, curative, rehabilitative and palliative services.</w:t>
      </w:r>
    </w:p>
    <w:p w:rsidR="00BC5F03" w:rsidRPr="00BC5F03" w:rsidRDefault="00BC5F03" w:rsidP="00BC5F03">
      <w:pPr>
        <w:pStyle w:val="BodyText"/>
        <w:rPr>
          <w:sz w:val="24"/>
        </w:rPr>
      </w:pPr>
    </w:p>
    <w:p w:rsidR="00BC5F03" w:rsidRPr="00BC5F03" w:rsidRDefault="00BC5F03" w:rsidP="00BC5F03">
      <w:pPr>
        <w:pStyle w:val="BodyText"/>
        <w:rPr>
          <w:sz w:val="24"/>
        </w:rPr>
      </w:pPr>
      <w:r w:rsidRPr="00BC5F03">
        <w:rPr>
          <w:sz w:val="24"/>
        </w:rPr>
        <w:t>The Integrated school health programme focused on screening of health-related barriers to learning such as vision, hearing, cognitive, and related developmental impairments.</w:t>
      </w:r>
    </w:p>
    <w:p w:rsidR="00BC5F03" w:rsidRPr="00BC5F03" w:rsidRDefault="00BC5F03" w:rsidP="00BC5F03">
      <w:pPr>
        <w:pStyle w:val="BodyText"/>
        <w:rPr>
          <w:sz w:val="24"/>
        </w:rPr>
      </w:pPr>
    </w:p>
    <w:p w:rsidR="00BC5F03" w:rsidRPr="00BC5F03" w:rsidRDefault="00BC5F03" w:rsidP="00BC5F03">
      <w:pPr>
        <w:pStyle w:val="BodyText"/>
        <w:rPr>
          <w:sz w:val="24"/>
        </w:rPr>
      </w:pPr>
      <w:r w:rsidRPr="00BC5F03">
        <w:rPr>
          <w:sz w:val="24"/>
        </w:rPr>
        <w:t>General Practitioners and Pharmacy Assistants were contracted to primary care facilities to support clinics in service delivery.</w:t>
      </w:r>
    </w:p>
    <w:p w:rsidR="00BC5F03" w:rsidRPr="00BC5F03" w:rsidRDefault="00BC5F03" w:rsidP="00BC5F03">
      <w:pPr>
        <w:pStyle w:val="BodyText"/>
        <w:rPr>
          <w:sz w:val="24"/>
        </w:rPr>
      </w:pPr>
    </w:p>
    <w:p w:rsidR="00BC5F03" w:rsidRPr="00BC5F03" w:rsidRDefault="00BC5F03" w:rsidP="00BC5F03">
      <w:pPr>
        <w:pStyle w:val="BodyText"/>
        <w:rPr>
          <w:sz w:val="24"/>
        </w:rPr>
      </w:pPr>
      <w:r w:rsidRPr="00BC5F03">
        <w:rPr>
          <w:sz w:val="24"/>
        </w:rPr>
        <w:t xml:space="preserve">The ideal clinic realisation model was introduced in response to the existing insufficiencies in quality of PHC services and to lay the foundation for NHI implementation. </w:t>
      </w:r>
    </w:p>
    <w:p w:rsidR="00BC5F03" w:rsidRPr="00BC5F03" w:rsidRDefault="00BC5F03" w:rsidP="00BC5F03">
      <w:pPr>
        <w:pStyle w:val="BodyText"/>
        <w:rPr>
          <w:sz w:val="24"/>
        </w:rPr>
      </w:pPr>
    </w:p>
    <w:p w:rsidR="00BC5F03" w:rsidRPr="00BC5F03" w:rsidRDefault="00BC5F03" w:rsidP="00BC5F03">
      <w:pPr>
        <w:pStyle w:val="BodyText"/>
        <w:rPr>
          <w:sz w:val="24"/>
        </w:rPr>
      </w:pPr>
      <w:r w:rsidRPr="00BC5F03">
        <w:rPr>
          <w:sz w:val="24"/>
        </w:rPr>
        <w:t xml:space="preserve">The centralized chronic medicines dispensing and distribution model involves the centralized dispensing of medicines for chronic stable patients and the collection of the medicine at a point close to patients, </w:t>
      </w:r>
    </w:p>
    <w:p w:rsidR="00BC5F03" w:rsidRPr="00BC5F03" w:rsidRDefault="00BC5F03" w:rsidP="00BC5F03">
      <w:pPr>
        <w:pStyle w:val="BodyText"/>
        <w:rPr>
          <w:sz w:val="24"/>
        </w:rPr>
      </w:pPr>
    </w:p>
    <w:p w:rsidR="00BC5F03" w:rsidRPr="00BC5F03" w:rsidRDefault="00BC5F03" w:rsidP="00BC5F03">
      <w:pPr>
        <w:pStyle w:val="BodyText"/>
        <w:rPr>
          <w:sz w:val="24"/>
        </w:rPr>
      </w:pPr>
      <w:r w:rsidRPr="00BC5F03">
        <w:rPr>
          <w:sz w:val="24"/>
        </w:rPr>
        <w:t>The purpose of the health patient registration system is to serve as an online registry of all patients using healthcare services in South Africa that can be accessed at any facility to provide health workers with patients’ demographic information and their most up-to-date health records.</w:t>
      </w:r>
    </w:p>
    <w:p w:rsidR="00BC5F03" w:rsidRPr="00BC5F03" w:rsidRDefault="00BC5F03" w:rsidP="00BC5F03">
      <w:pPr>
        <w:pStyle w:val="BodyText"/>
        <w:rPr>
          <w:sz w:val="24"/>
        </w:rPr>
      </w:pPr>
    </w:p>
    <w:p w:rsidR="00BC5F03" w:rsidRPr="00BC5F03" w:rsidRDefault="00BC5F03" w:rsidP="00BC5F03">
      <w:pPr>
        <w:pStyle w:val="BodyText"/>
        <w:rPr>
          <w:sz w:val="24"/>
        </w:rPr>
      </w:pPr>
      <w:r w:rsidRPr="00BC5F03">
        <w:rPr>
          <w:sz w:val="24"/>
        </w:rPr>
        <w:t xml:space="preserve">The stock visibility system is used in PHC clinics to monitor and report on stock availability levels for essential medicines like ARVs, TB medication and vaccines. The purpose of the SVS is to enable more informed decision-making and proactive stock management at the PHC facility level. </w:t>
      </w:r>
    </w:p>
    <w:p w:rsidR="00BC5F03" w:rsidRPr="00BC5F03" w:rsidRDefault="00BC5F03" w:rsidP="00BC5F03">
      <w:pPr>
        <w:pStyle w:val="BodyText"/>
        <w:rPr>
          <w:sz w:val="24"/>
        </w:rPr>
      </w:pPr>
    </w:p>
    <w:p w:rsidR="00BC5F03" w:rsidRPr="00BC5F03" w:rsidRDefault="00BC5F03" w:rsidP="00BC5F03">
      <w:pPr>
        <w:pStyle w:val="BodyText"/>
        <w:rPr>
          <w:sz w:val="24"/>
        </w:rPr>
      </w:pPr>
      <w:r w:rsidRPr="00BC5F03">
        <w:rPr>
          <w:sz w:val="24"/>
        </w:rPr>
        <w:t xml:space="preserve">The infrastructure grant was intended to fund nursing college infrastructure as well as the maintenance, repair and construction of primary care facilities </w:t>
      </w:r>
    </w:p>
    <w:p w:rsidR="00BC5F03" w:rsidRPr="00BC5F03" w:rsidRDefault="00BC5F03" w:rsidP="00BC5F03">
      <w:pPr>
        <w:pStyle w:val="BodyText"/>
        <w:rPr>
          <w:sz w:val="24"/>
        </w:rPr>
      </w:pPr>
    </w:p>
    <w:p w:rsidR="00BC5F03" w:rsidRPr="00BC5F03" w:rsidRDefault="00BC5F03" w:rsidP="00BC5F03">
      <w:pPr>
        <w:pStyle w:val="BodyText"/>
        <w:rPr>
          <w:sz w:val="24"/>
        </w:rPr>
      </w:pPr>
    </w:p>
    <w:p w:rsidR="00BC5F03" w:rsidRPr="00BC5F03" w:rsidRDefault="00BC5F03" w:rsidP="00BC5F03">
      <w:pPr>
        <w:pStyle w:val="BodyText"/>
        <w:rPr>
          <w:sz w:val="24"/>
        </w:rPr>
      </w:pPr>
    </w:p>
    <w:p w:rsidR="00BC5F03" w:rsidRPr="00BC5F03" w:rsidRDefault="00BC5F03" w:rsidP="00BC5F03">
      <w:pPr>
        <w:pStyle w:val="BodyText"/>
        <w:rPr>
          <w:sz w:val="24"/>
        </w:rPr>
      </w:pPr>
    </w:p>
    <w:p w:rsidR="00BC5F03" w:rsidRPr="00BC5F03" w:rsidRDefault="00BC5F03" w:rsidP="00BC5F03">
      <w:pPr>
        <w:pStyle w:val="BodyText"/>
        <w:rPr>
          <w:sz w:val="24"/>
        </w:rPr>
      </w:pPr>
    </w:p>
    <w:p w:rsidR="00BC5F03" w:rsidRPr="00BC5F03" w:rsidRDefault="00BC5F03" w:rsidP="00BC5F03">
      <w:pPr>
        <w:pStyle w:val="BodyText"/>
        <w:rPr>
          <w:sz w:val="24"/>
        </w:rPr>
      </w:pPr>
      <w:r w:rsidRPr="00BC5F03">
        <w:rPr>
          <w:sz w:val="24"/>
        </w:rPr>
        <w:lastRenderedPageBreak/>
        <w:t xml:space="preserve">The expenditure </w:t>
      </w:r>
      <w:bookmarkStart w:id="0" w:name="_GoBack"/>
      <w:bookmarkEnd w:id="0"/>
      <w:r w:rsidRPr="00BC5F03">
        <w:rPr>
          <w:sz w:val="24"/>
        </w:rPr>
        <w:t>below outlines the grants allocated to the National Health Insurance as reported in Departmental annual reports over the period</w:t>
      </w:r>
    </w:p>
    <w:p w:rsidR="00BC5F03" w:rsidRPr="00BC5F03" w:rsidRDefault="00BC5F03" w:rsidP="00BC5F03">
      <w:pPr>
        <w:pStyle w:val="BodyText"/>
        <w:rPr>
          <w:sz w:val="24"/>
        </w:rPr>
      </w:pPr>
    </w:p>
    <w:tbl>
      <w:tblPr>
        <w:tblW w:w="10980" w:type="dxa"/>
        <w:tblInd w:w="-342" w:type="dxa"/>
        <w:tblLook w:val="04A0" w:firstRow="1" w:lastRow="0" w:firstColumn="1" w:lastColumn="0" w:noHBand="0" w:noVBand="1"/>
      </w:tblPr>
      <w:tblGrid>
        <w:gridCol w:w="2084"/>
        <w:gridCol w:w="2056"/>
        <w:gridCol w:w="1134"/>
        <w:gridCol w:w="1134"/>
        <w:gridCol w:w="1134"/>
        <w:gridCol w:w="1134"/>
        <w:gridCol w:w="1134"/>
        <w:gridCol w:w="1170"/>
      </w:tblGrid>
      <w:tr w:rsidR="00BC5F03" w:rsidRPr="00BC5F03" w:rsidTr="00387B8D">
        <w:trPr>
          <w:trHeight w:val="375"/>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xml:space="preserve">Name of the Grant </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Grant Deliverables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(R 000') 2017/18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(R 000') 2016/17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(R 000') 2015/16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(R 000') 2014/15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(R 000') 2013/14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(R 000') 2012/13</w:t>
            </w:r>
          </w:p>
        </w:tc>
      </w:tr>
      <w:tr w:rsidR="00BC5F03" w:rsidRPr="00BC5F03" w:rsidTr="00387B8D">
        <w:trPr>
          <w:trHeight w:val="1455"/>
        </w:trPr>
        <w:tc>
          <w:tcPr>
            <w:tcW w:w="2084" w:type="dxa"/>
            <w:tcBorders>
              <w:top w:val="nil"/>
              <w:left w:val="single" w:sz="4" w:space="0" w:color="auto"/>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b/>
                <w:bCs/>
                <w:szCs w:val="22"/>
              </w:rPr>
            </w:pPr>
            <w:r w:rsidRPr="00BC5F03">
              <w:rPr>
                <w:b/>
                <w:bCs/>
                <w:szCs w:val="22"/>
              </w:rPr>
              <w:t xml:space="preserve">National Health Insurance </w:t>
            </w:r>
          </w:p>
        </w:tc>
        <w:tc>
          <w:tcPr>
            <w:tcW w:w="2056" w:type="dxa"/>
            <w:tcBorders>
              <w:top w:val="nil"/>
              <w:left w:val="nil"/>
              <w:bottom w:val="single" w:sz="4" w:space="0" w:color="auto"/>
              <w:right w:val="single" w:sz="4" w:space="0" w:color="auto"/>
            </w:tcBorders>
            <w:shd w:val="clear" w:color="auto" w:fill="auto"/>
            <w:vAlign w:val="bottom"/>
            <w:hideMark/>
          </w:tcPr>
          <w:p w:rsidR="00BC5F03" w:rsidRPr="00BC5F03" w:rsidRDefault="00BC5F03" w:rsidP="00BC5F03">
            <w:pPr>
              <w:pStyle w:val="BodyText"/>
              <w:rPr>
                <w:szCs w:val="22"/>
              </w:rPr>
            </w:pPr>
            <w:r w:rsidRPr="00BC5F03">
              <w:rPr>
                <w:szCs w:val="22"/>
              </w:rPr>
              <w:t>Equipment for PHC facilities and outreach teams, training of staff in SCM, impact assessment of pilot interventions</w:t>
            </w:r>
          </w:p>
        </w:tc>
        <w:tc>
          <w:tcPr>
            <w:tcW w:w="1134" w:type="dxa"/>
            <w:tcBorders>
              <w:top w:val="nil"/>
              <w:left w:val="nil"/>
              <w:bottom w:val="single" w:sz="4" w:space="0" w:color="auto"/>
              <w:right w:val="single" w:sz="4" w:space="0" w:color="auto"/>
            </w:tcBorders>
            <w:shd w:val="clear" w:color="auto" w:fill="auto"/>
            <w:vAlign w:val="bottom"/>
            <w:hideMark/>
          </w:tcPr>
          <w:p w:rsidR="00BC5F03" w:rsidRPr="00BC5F03" w:rsidRDefault="00BC5F03" w:rsidP="00BC5F03">
            <w:pPr>
              <w:pStyle w:val="BodyText"/>
              <w:rPr>
                <w:b/>
                <w:bCs/>
                <w:szCs w:val="22"/>
              </w:rPr>
            </w:pPr>
            <w:r w:rsidRPr="00BC5F03">
              <w:rPr>
                <w:b/>
                <w:bCs/>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99 665</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xml:space="preserve">63 491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xml:space="preserve">63 605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71 614</w:t>
            </w:r>
          </w:p>
        </w:tc>
        <w:tc>
          <w:tcPr>
            <w:tcW w:w="1170"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78 019</w:t>
            </w:r>
          </w:p>
        </w:tc>
      </w:tr>
      <w:tr w:rsidR="00BC5F03" w:rsidRPr="00BC5F03" w:rsidTr="00387B8D">
        <w:trPr>
          <w:trHeight w:val="1035"/>
        </w:trPr>
        <w:tc>
          <w:tcPr>
            <w:tcW w:w="2084" w:type="dxa"/>
            <w:tcBorders>
              <w:top w:val="nil"/>
              <w:left w:val="single" w:sz="4" w:space="0" w:color="auto"/>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b/>
                <w:bCs/>
                <w:szCs w:val="22"/>
              </w:rPr>
            </w:pPr>
            <w:r w:rsidRPr="00BC5F03">
              <w:rPr>
                <w:b/>
                <w:bCs/>
                <w:szCs w:val="22"/>
              </w:rPr>
              <w:t xml:space="preserve">Ideal Clinics </w:t>
            </w:r>
          </w:p>
        </w:tc>
        <w:tc>
          <w:tcPr>
            <w:tcW w:w="2056" w:type="dxa"/>
            <w:tcBorders>
              <w:top w:val="nil"/>
              <w:left w:val="nil"/>
              <w:bottom w:val="single" w:sz="4" w:space="0" w:color="auto"/>
              <w:right w:val="single" w:sz="4" w:space="0" w:color="auto"/>
            </w:tcBorders>
            <w:shd w:val="clear" w:color="auto" w:fill="auto"/>
            <w:vAlign w:val="bottom"/>
            <w:hideMark/>
          </w:tcPr>
          <w:p w:rsidR="00BC5F03" w:rsidRPr="00BC5F03" w:rsidRDefault="00BC5F03" w:rsidP="00BC5F03">
            <w:pPr>
              <w:pStyle w:val="BodyText"/>
              <w:rPr>
                <w:szCs w:val="22"/>
              </w:rPr>
            </w:pPr>
            <w:r w:rsidRPr="00BC5F03">
              <w:rPr>
                <w:szCs w:val="22"/>
              </w:rPr>
              <w:t>Evaluate clinics against ideal clinic criteria and support facilities to reach ideal clinic status</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xml:space="preserve">26 590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xml:space="preserve"> 9 792</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w:t>
            </w:r>
          </w:p>
        </w:tc>
      </w:tr>
      <w:tr w:rsidR="00BC5F03" w:rsidRPr="00BC5F03" w:rsidTr="00387B8D">
        <w:trPr>
          <w:trHeight w:val="300"/>
        </w:trPr>
        <w:tc>
          <w:tcPr>
            <w:tcW w:w="2084" w:type="dxa"/>
            <w:tcBorders>
              <w:top w:val="nil"/>
              <w:left w:val="single" w:sz="4" w:space="0" w:color="auto"/>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b/>
                <w:bCs/>
                <w:szCs w:val="22"/>
              </w:rPr>
            </w:pPr>
            <w:r w:rsidRPr="00BC5F03">
              <w:rPr>
                <w:b/>
                <w:bCs/>
                <w:szCs w:val="22"/>
              </w:rPr>
              <w:t xml:space="preserve">Human Papillomavirus Vaccine </w:t>
            </w:r>
          </w:p>
        </w:tc>
        <w:tc>
          <w:tcPr>
            <w:tcW w:w="2056"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Two dose vaccination</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xml:space="preserve">199 534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189 992</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xml:space="preserve">158 719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xml:space="preserve">189 489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w:t>
            </w:r>
          </w:p>
        </w:tc>
      </w:tr>
      <w:tr w:rsidR="00BC5F03" w:rsidRPr="00BC5F03" w:rsidTr="00387B8D">
        <w:trPr>
          <w:trHeight w:val="780"/>
        </w:trPr>
        <w:tc>
          <w:tcPr>
            <w:tcW w:w="2084" w:type="dxa"/>
            <w:tcBorders>
              <w:top w:val="nil"/>
              <w:left w:val="single" w:sz="4" w:space="0" w:color="auto"/>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b/>
                <w:bCs/>
                <w:szCs w:val="22"/>
              </w:rPr>
            </w:pPr>
            <w:r w:rsidRPr="00BC5F03">
              <w:rPr>
                <w:b/>
                <w:bCs/>
                <w:szCs w:val="22"/>
              </w:rPr>
              <w:t xml:space="preserve">Health Professionals Contracting </w:t>
            </w:r>
          </w:p>
        </w:tc>
        <w:tc>
          <w:tcPr>
            <w:tcW w:w="2056" w:type="dxa"/>
            <w:tcBorders>
              <w:top w:val="nil"/>
              <w:left w:val="nil"/>
              <w:bottom w:val="single" w:sz="4" w:space="0" w:color="auto"/>
              <w:right w:val="single" w:sz="4" w:space="0" w:color="auto"/>
            </w:tcBorders>
            <w:shd w:val="clear" w:color="auto" w:fill="auto"/>
            <w:vAlign w:val="bottom"/>
            <w:hideMark/>
          </w:tcPr>
          <w:p w:rsidR="00BC5F03" w:rsidRPr="00BC5F03" w:rsidRDefault="00BC5F03" w:rsidP="00BC5F03">
            <w:pPr>
              <w:pStyle w:val="BodyText"/>
              <w:rPr>
                <w:szCs w:val="22"/>
              </w:rPr>
            </w:pPr>
            <w:r w:rsidRPr="00BC5F03">
              <w:rPr>
                <w:szCs w:val="22"/>
              </w:rPr>
              <w:t>Contracting health professionals and  CCMDD</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xml:space="preserve">549 035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361 580</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xml:space="preserve">279 780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xml:space="preserve">R82,261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9 457</w:t>
            </w:r>
          </w:p>
        </w:tc>
        <w:tc>
          <w:tcPr>
            <w:tcW w:w="1170"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w:t>
            </w:r>
          </w:p>
        </w:tc>
      </w:tr>
      <w:tr w:rsidR="00BC5F03" w:rsidRPr="00BC5F03" w:rsidTr="00387B8D">
        <w:trPr>
          <w:trHeight w:val="1035"/>
        </w:trPr>
        <w:tc>
          <w:tcPr>
            <w:tcW w:w="2084" w:type="dxa"/>
            <w:tcBorders>
              <w:top w:val="nil"/>
              <w:left w:val="single" w:sz="4" w:space="0" w:color="auto"/>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b/>
                <w:bCs/>
                <w:szCs w:val="22"/>
              </w:rPr>
            </w:pPr>
            <w:r w:rsidRPr="00BC5F03">
              <w:rPr>
                <w:b/>
                <w:bCs/>
                <w:szCs w:val="22"/>
              </w:rPr>
              <w:t xml:space="preserve">Health Facility Revitalisation </w:t>
            </w:r>
          </w:p>
        </w:tc>
        <w:tc>
          <w:tcPr>
            <w:tcW w:w="2056" w:type="dxa"/>
            <w:tcBorders>
              <w:top w:val="nil"/>
              <w:left w:val="nil"/>
              <w:bottom w:val="single" w:sz="4" w:space="0" w:color="auto"/>
              <w:right w:val="single" w:sz="4" w:space="0" w:color="auto"/>
            </w:tcBorders>
            <w:shd w:val="clear" w:color="auto" w:fill="auto"/>
            <w:vAlign w:val="bottom"/>
            <w:hideMark/>
          </w:tcPr>
          <w:p w:rsidR="00BC5F03" w:rsidRPr="00BC5F03" w:rsidRDefault="00BC5F03" w:rsidP="00BC5F03">
            <w:pPr>
              <w:pStyle w:val="BodyText"/>
              <w:rPr>
                <w:szCs w:val="22"/>
              </w:rPr>
            </w:pPr>
            <w:r w:rsidRPr="00BC5F03">
              <w:rPr>
                <w:szCs w:val="22"/>
              </w:rPr>
              <w:t>Nursing Education Institutions, maintainance, repair and refurbishment</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xml:space="preserve">657 099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686 496</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xml:space="preserve">612 623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xml:space="preserve">292 345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373 483</w:t>
            </w:r>
          </w:p>
        </w:tc>
        <w:tc>
          <w:tcPr>
            <w:tcW w:w="1170"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w:t>
            </w:r>
          </w:p>
        </w:tc>
      </w:tr>
      <w:tr w:rsidR="00BC5F03" w:rsidRPr="00BC5F03" w:rsidTr="00387B8D">
        <w:trPr>
          <w:trHeight w:val="1290"/>
        </w:trPr>
        <w:tc>
          <w:tcPr>
            <w:tcW w:w="2084" w:type="dxa"/>
            <w:tcBorders>
              <w:top w:val="nil"/>
              <w:left w:val="single" w:sz="4" w:space="0" w:color="auto"/>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b/>
                <w:bCs/>
                <w:szCs w:val="22"/>
              </w:rPr>
            </w:pPr>
            <w:r w:rsidRPr="00BC5F03">
              <w:rPr>
                <w:b/>
                <w:bCs/>
                <w:szCs w:val="22"/>
              </w:rPr>
              <w:t xml:space="preserve">Information Systems </w:t>
            </w:r>
          </w:p>
        </w:tc>
        <w:tc>
          <w:tcPr>
            <w:tcW w:w="2056" w:type="dxa"/>
            <w:tcBorders>
              <w:top w:val="nil"/>
              <w:left w:val="nil"/>
              <w:bottom w:val="single" w:sz="4" w:space="0" w:color="auto"/>
              <w:right w:val="single" w:sz="4" w:space="0" w:color="auto"/>
            </w:tcBorders>
            <w:shd w:val="clear" w:color="auto" w:fill="auto"/>
            <w:vAlign w:val="bottom"/>
            <w:hideMark/>
          </w:tcPr>
          <w:p w:rsidR="00BC5F03" w:rsidRPr="00BC5F03" w:rsidRDefault="00BC5F03" w:rsidP="00BC5F03">
            <w:pPr>
              <w:pStyle w:val="BodyText"/>
              <w:rPr>
                <w:szCs w:val="22"/>
              </w:rPr>
            </w:pPr>
            <w:r w:rsidRPr="00BC5F03">
              <w:rPr>
                <w:szCs w:val="22"/>
              </w:rPr>
              <w:t>Health Patient Registration System, PHC Stock Visibility System and Hospital Stock Visibility System.</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xml:space="preserve">83 807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BC5F03" w:rsidRPr="00BC5F03" w:rsidRDefault="00BC5F03" w:rsidP="00BC5F03">
            <w:pPr>
              <w:pStyle w:val="BodyText"/>
              <w:rPr>
                <w:szCs w:val="22"/>
              </w:rPr>
            </w:pPr>
            <w:r w:rsidRPr="00BC5F03">
              <w:rPr>
                <w:szCs w:val="22"/>
              </w:rPr>
              <w:t> </w:t>
            </w:r>
          </w:p>
        </w:tc>
      </w:tr>
    </w:tbl>
    <w:p w:rsidR="00BC5F03" w:rsidRPr="00BC5F03" w:rsidRDefault="00BC5F03" w:rsidP="00BC5F03">
      <w:pPr>
        <w:pStyle w:val="BodyText"/>
        <w:rPr>
          <w:sz w:val="24"/>
        </w:rPr>
      </w:pPr>
    </w:p>
    <w:p w:rsidR="00A904DA" w:rsidRDefault="00A904DA"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DFE" w:rsidRDefault="00553DFE">
      <w:r>
        <w:separator/>
      </w:r>
    </w:p>
  </w:endnote>
  <w:endnote w:type="continuationSeparator" w:id="0">
    <w:p w:rsidR="00553DFE" w:rsidRDefault="0055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B2982">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DFE" w:rsidRDefault="00553DFE">
      <w:r>
        <w:separator/>
      </w:r>
    </w:p>
  </w:footnote>
  <w:footnote w:type="continuationSeparator" w:id="0">
    <w:p w:rsidR="00553DFE" w:rsidRDefault="00553D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1B74E6"/>
    <w:multiLevelType w:val="hybridMultilevel"/>
    <w:tmpl w:val="2B76AB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0005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3DFE"/>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94D"/>
    <w:rsid w:val="00735915"/>
    <w:rsid w:val="00740BE5"/>
    <w:rsid w:val="00750880"/>
    <w:rsid w:val="00762416"/>
    <w:rsid w:val="00766F57"/>
    <w:rsid w:val="0077035F"/>
    <w:rsid w:val="00770C17"/>
    <w:rsid w:val="00771EB2"/>
    <w:rsid w:val="00773A22"/>
    <w:rsid w:val="00786C98"/>
    <w:rsid w:val="007A0D02"/>
    <w:rsid w:val="007A3E1B"/>
    <w:rsid w:val="007A4252"/>
    <w:rsid w:val="007A6FF8"/>
    <w:rsid w:val="007C1F51"/>
    <w:rsid w:val="007D69C3"/>
    <w:rsid w:val="007E2A6D"/>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35866"/>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4D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B727B"/>
    <w:rsid w:val="00BC04F9"/>
    <w:rsid w:val="00BC4703"/>
    <w:rsid w:val="00BC5F03"/>
    <w:rsid w:val="00BC6E9C"/>
    <w:rsid w:val="00BC7E1F"/>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2982"/>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0E2"/>
    <w:rsid w:val="00EA464E"/>
    <w:rsid w:val="00EB211A"/>
    <w:rsid w:val="00EB241F"/>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1DE5"/>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052C38-D73D-464D-9F99-89DBC5B8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2019-10-07T14:15:00Z</cp:lastPrinted>
  <dcterms:created xsi:type="dcterms:W3CDTF">2019-07-07T19:02:00Z</dcterms:created>
  <dcterms:modified xsi:type="dcterms:W3CDTF">2019-10-07T14:51:00Z</dcterms:modified>
</cp:coreProperties>
</file>