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2C1" w:rsidRDefault="004932C1" w:rsidP="00C5199D">
      <w:pPr>
        <w:spacing w:before="100" w:beforeAutospacing="1" w:after="100" w:afterAutospacing="1"/>
        <w:ind w:left="720" w:hanging="720"/>
        <w:jc w:val="both"/>
        <w:outlineLvl w:val="0"/>
        <w:rPr>
          <w:rFonts w:ascii="Arial" w:hAnsi="Arial" w:cs="Arial"/>
          <w:b/>
          <w:bCs/>
          <w:lang w:val="en-US"/>
        </w:rPr>
      </w:pPr>
      <w:r>
        <w:rPr>
          <w:rFonts w:ascii="Arial" w:hAnsi="Arial" w:cs="Arial"/>
          <w:b/>
          <w:bCs/>
          <w:lang w:val="en-US"/>
        </w:rPr>
        <w:t>National Assembly</w:t>
      </w:r>
    </w:p>
    <w:p w:rsidR="004932C1" w:rsidRDefault="004932C1" w:rsidP="00C5199D">
      <w:pPr>
        <w:spacing w:before="100" w:beforeAutospacing="1" w:after="100" w:afterAutospacing="1"/>
        <w:ind w:left="720" w:hanging="720"/>
        <w:jc w:val="both"/>
        <w:outlineLvl w:val="0"/>
        <w:rPr>
          <w:rFonts w:ascii="Arial" w:hAnsi="Arial" w:cs="Arial"/>
          <w:b/>
          <w:bCs/>
          <w:lang w:val="en-US"/>
        </w:rPr>
      </w:pPr>
      <w:r>
        <w:rPr>
          <w:rFonts w:ascii="Arial" w:hAnsi="Arial" w:cs="Arial"/>
          <w:b/>
          <w:bCs/>
          <w:lang w:val="en-US"/>
        </w:rPr>
        <w:t>Question No 1362</w:t>
      </w:r>
    </w:p>
    <w:p w:rsidR="00C5199D" w:rsidRPr="00C5199D" w:rsidRDefault="00C5199D" w:rsidP="00C5199D">
      <w:pPr>
        <w:spacing w:before="100" w:beforeAutospacing="1" w:after="100" w:afterAutospacing="1"/>
        <w:ind w:left="720" w:hanging="720"/>
        <w:jc w:val="both"/>
        <w:outlineLvl w:val="0"/>
        <w:rPr>
          <w:rFonts w:ascii="Arial" w:hAnsi="Arial" w:cs="Arial"/>
          <w:lang w:val="en-US"/>
        </w:rPr>
      </w:pPr>
      <w:r w:rsidRPr="00C5199D">
        <w:rPr>
          <w:rFonts w:ascii="Arial" w:hAnsi="Arial" w:cs="Arial"/>
          <w:b/>
          <w:bCs/>
          <w:lang w:val="en-US"/>
        </w:rPr>
        <w:t xml:space="preserve">Ms A M van Zyl (DA) to </w:t>
      </w:r>
      <w:r w:rsidRPr="00C5199D">
        <w:rPr>
          <w:rFonts w:ascii="Arial" w:hAnsi="Arial" w:cs="Arial"/>
          <w:b/>
        </w:rPr>
        <w:t>ask</w:t>
      </w:r>
      <w:r w:rsidRPr="00C5199D">
        <w:rPr>
          <w:rFonts w:ascii="Arial" w:hAnsi="Arial" w:cs="Arial"/>
          <w:b/>
          <w:bCs/>
        </w:rPr>
        <w:t xml:space="preserve"> </w:t>
      </w:r>
      <w:r w:rsidRPr="00C5199D">
        <w:rPr>
          <w:rFonts w:ascii="Arial" w:hAnsi="Arial" w:cs="Arial"/>
          <w:b/>
          <w:bCs/>
          <w:lang w:val="en-US"/>
        </w:rPr>
        <w:t>the Minister of Transport</w:t>
      </w:r>
      <w:r w:rsidR="00EE3D2F" w:rsidRPr="00C5199D">
        <w:rPr>
          <w:rFonts w:ascii="Arial" w:hAnsi="Arial" w:cs="Arial"/>
          <w:b/>
          <w:bCs/>
          <w:lang w:val="en-US"/>
        </w:rPr>
        <w:fldChar w:fldCharType="begin"/>
      </w:r>
      <w:r w:rsidRPr="00C5199D">
        <w:rPr>
          <w:rFonts w:ascii="Arial" w:hAnsi="Arial" w:cs="Arial"/>
        </w:rPr>
        <w:instrText xml:space="preserve"> XE "</w:instrText>
      </w:r>
      <w:r w:rsidRPr="00C5199D">
        <w:rPr>
          <w:rFonts w:ascii="Arial" w:hAnsi="Arial" w:cs="Arial"/>
          <w:b/>
          <w:lang w:val="en-GB"/>
        </w:rPr>
        <w:instrText>Minister of Transport</w:instrText>
      </w:r>
      <w:r w:rsidRPr="00C5199D">
        <w:rPr>
          <w:rFonts w:ascii="Arial" w:hAnsi="Arial" w:cs="Arial"/>
        </w:rPr>
        <w:instrText xml:space="preserve">" </w:instrText>
      </w:r>
      <w:r w:rsidR="00EE3D2F" w:rsidRPr="00C5199D">
        <w:rPr>
          <w:rFonts w:ascii="Arial" w:hAnsi="Arial" w:cs="Arial"/>
          <w:b/>
          <w:bCs/>
          <w:lang w:val="en-US"/>
        </w:rPr>
        <w:fldChar w:fldCharType="end"/>
      </w:r>
      <w:r w:rsidRPr="00C5199D">
        <w:rPr>
          <w:rFonts w:ascii="Arial" w:hAnsi="Arial" w:cs="Arial"/>
          <w:b/>
          <w:bCs/>
          <w:lang w:val="en-US"/>
        </w:rPr>
        <w:t>:</w:t>
      </w:r>
    </w:p>
    <w:p w:rsidR="00C5199D" w:rsidRPr="00C5199D" w:rsidRDefault="00C5199D" w:rsidP="00C5199D">
      <w:pPr>
        <w:spacing w:before="100" w:beforeAutospacing="1" w:after="100" w:afterAutospacing="1"/>
        <w:ind w:left="709" w:hanging="709"/>
        <w:jc w:val="both"/>
        <w:outlineLvl w:val="0"/>
        <w:rPr>
          <w:rFonts w:ascii="Arial" w:hAnsi="Arial" w:cs="Arial"/>
        </w:rPr>
      </w:pPr>
      <w:r w:rsidRPr="00C5199D">
        <w:rPr>
          <w:rFonts w:ascii="Arial" w:hAnsi="Arial" w:cs="Arial"/>
        </w:rPr>
        <w:t>(1)</w:t>
      </w:r>
      <w:r w:rsidRPr="00C5199D">
        <w:rPr>
          <w:rFonts w:ascii="Arial" w:hAnsi="Arial" w:cs="Arial"/>
        </w:rPr>
        <w:tab/>
        <w:t xml:space="preserve">What (a) is the allocated budget for scholar transport for each province and (b) procedures and processes are in place to ensure that the budget allocated for scholar transport is not mismanaged; </w:t>
      </w:r>
    </w:p>
    <w:p w:rsidR="00C5199D" w:rsidRPr="00C5199D" w:rsidRDefault="00C5199D" w:rsidP="00C5199D">
      <w:pPr>
        <w:spacing w:before="100" w:beforeAutospacing="1" w:after="100" w:afterAutospacing="1"/>
        <w:ind w:left="709" w:hanging="709"/>
        <w:jc w:val="both"/>
        <w:outlineLvl w:val="0"/>
        <w:rPr>
          <w:rFonts w:ascii="Arial" w:hAnsi="Arial" w:cs="Arial"/>
        </w:rPr>
      </w:pPr>
      <w:r w:rsidRPr="00C5199D">
        <w:rPr>
          <w:rFonts w:ascii="Arial" w:hAnsi="Arial" w:cs="Arial"/>
        </w:rPr>
        <w:t>(2)</w:t>
      </w:r>
      <w:r w:rsidRPr="00C5199D">
        <w:rPr>
          <w:rFonts w:ascii="Arial" w:hAnsi="Arial" w:cs="Arial"/>
        </w:rPr>
        <w:tab/>
        <w:t>whether each province has received their full budget for the 2023-24 financial year; if not, why not; if so, what are the relevant details;</w:t>
      </w:r>
    </w:p>
    <w:p w:rsidR="00C5199D" w:rsidRPr="00C5199D" w:rsidRDefault="00C5199D" w:rsidP="00C5199D">
      <w:pPr>
        <w:spacing w:before="100" w:beforeAutospacing="1" w:after="100" w:afterAutospacing="1"/>
        <w:ind w:left="709" w:hanging="567"/>
        <w:jc w:val="both"/>
        <w:outlineLvl w:val="0"/>
        <w:rPr>
          <w:rFonts w:ascii="Arial" w:hAnsi="Arial" w:cs="Arial"/>
          <w:color w:val="000000"/>
          <w:sz w:val="20"/>
          <w:szCs w:val="20"/>
        </w:rPr>
      </w:pPr>
      <w:r w:rsidRPr="00C5199D">
        <w:rPr>
          <w:rFonts w:ascii="Arial" w:hAnsi="Arial" w:cs="Arial"/>
        </w:rPr>
        <w:t>(3)</w:t>
      </w:r>
      <w:r w:rsidRPr="00C5199D">
        <w:rPr>
          <w:rFonts w:ascii="Arial" w:hAnsi="Arial" w:cs="Arial"/>
        </w:rPr>
        <w:tab/>
        <w:t>what total number of learners in each province (a) are reliant on scholar transport, (b) are provided for and (c) are able to make use of scholar transport?</w:t>
      </w:r>
      <w:r w:rsidRPr="00C5199D">
        <w:rPr>
          <w:rFonts w:ascii="Arial" w:hAnsi="Arial" w:cs="Arial"/>
        </w:rPr>
        <w:tab/>
      </w:r>
      <w:r w:rsidRPr="00C5199D">
        <w:rPr>
          <w:rFonts w:ascii="Arial" w:hAnsi="Arial" w:cs="Arial"/>
        </w:rPr>
        <w:tab/>
      </w:r>
      <w:r w:rsidRPr="00C5199D">
        <w:rPr>
          <w:rFonts w:ascii="Arial" w:hAnsi="Arial" w:cs="Arial"/>
        </w:rPr>
        <w:tab/>
      </w:r>
      <w:r w:rsidRPr="00C5199D">
        <w:rPr>
          <w:rFonts w:ascii="Arial" w:hAnsi="Arial" w:cs="Arial"/>
        </w:rPr>
        <w:tab/>
      </w:r>
      <w:r w:rsidRPr="00C5199D">
        <w:rPr>
          <w:rFonts w:ascii="Arial" w:hAnsi="Arial" w:cs="Arial"/>
        </w:rPr>
        <w:tab/>
      </w:r>
      <w:r w:rsidRPr="00C5199D">
        <w:rPr>
          <w:rFonts w:ascii="Arial" w:hAnsi="Arial" w:cs="Arial"/>
        </w:rPr>
        <w:tab/>
      </w:r>
      <w:r w:rsidRPr="00C5199D">
        <w:rPr>
          <w:rFonts w:ascii="Arial" w:hAnsi="Arial" w:cs="Arial"/>
          <w:color w:val="000000"/>
        </w:rPr>
        <w:tab/>
      </w:r>
      <w:r w:rsidRPr="00C5199D">
        <w:rPr>
          <w:rFonts w:ascii="Arial" w:hAnsi="Arial" w:cs="Arial"/>
          <w:color w:val="000000"/>
        </w:rPr>
        <w:tab/>
      </w:r>
      <w:r w:rsidRPr="00C5199D">
        <w:rPr>
          <w:rFonts w:ascii="Arial" w:hAnsi="Arial" w:cs="Arial"/>
          <w:color w:val="000000"/>
        </w:rPr>
        <w:tab/>
      </w:r>
      <w:r w:rsidRPr="00C5199D">
        <w:rPr>
          <w:rFonts w:ascii="Arial" w:hAnsi="Arial" w:cs="Arial"/>
          <w:color w:val="000000"/>
          <w:sz w:val="20"/>
          <w:szCs w:val="20"/>
        </w:rPr>
        <w:t>NW1564E</w:t>
      </w:r>
    </w:p>
    <w:p w:rsidR="00F5793E" w:rsidRDefault="00F5793E" w:rsidP="00C5199D">
      <w:pPr>
        <w:spacing w:before="100" w:beforeAutospacing="1" w:after="100" w:afterAutospacing="1"/>
        <w:ind w:left="-142" w:hanging="720"/>
        <w:jc w:val="both"/>
        <w:outlineLvl w:val="0"/>
        <w:rPr>
          <w:rFonts w:ascii="Arial" w:hAnsi="Arial" w:cs="Arial"/>
          <w:b/>
        </w:rPr>
      </w:pPr>
    </w:p>
    <w:p w:rsidR="00BD599B" w:rsidRPr="00CB4353" w:rsidRDefault="00F04BF9" w:rsidP="00122AF7">
      <w:pPr>
        <w:spacing w:before="100" w:beforeAutospacing="1" w:after="100" w:afterAutospacing="1"/>
        <w:ind w:left="720" w:hanging="436"/>
        <w:jc w:val="both"/>
        <w:outlineLvl w:val="0"/>
        <w:rPr>
          <w:rFonts w:ascii="Arial" w:eastAsia="Arial" w:hAnsi="Arial" w:cs="Arial"/>
          <w:b/>
        </w:rPr>
      </w:pPr>
      <w:r w:rsidRPr="00CB4353">
        <w:rPr>
          <w:rFonts w:ascii="Arial" w:eastAsia="Arial" w:hAnsi="Arial" w:cs="Arial"/>
          <w:b/>
        </w:rPr>
        <w:t>REPLY</w:t>
      </w:r>
    </w:p>
    <w:p w:rsidR="000B5FD2" w:rsidRPr="000B5FD2" w:rsidRDefault="00122AF7" w:rsidP="00122AF7">
      <w:pPr>
        <w:pStyle w:val="ListParagraph"/>
        <w:numPr>
          <w:ilvl w:val="0"/>
          <w:numId w:val="17"/>
        </w:numPr>
        <w:ind w:left="709" w:hanging="425"/>
        <w:jc w:val="both"/>
        <w:rPr>
          <w:rFonts w:ascii="Arial" w:eastAsia="Calibri" w:hAnsi="Arial" w:cs="Arial"/>
          <w:lang w:eastAsia="en-US"/>
        </w:rPr>
      </w:pPr>
      <w:r>
        <w:rPr>
          <w:rFonts w:ascii="Arial" w:hAnsi="Arial" w:cs="Arial"/>
        </w:rPr>
        <w:t xml:space="preserve">(a) </w:t>
      </w:r>
      <w:r w:rsidR="000B5FD2" w:rsidRPr="007A6177">
        <w:rPr>
          <w:rFonts w:ascii="Arial" w:hAnsi="Arial" w:cs="Arial"/>
        </w:rPr>
        <w:t>Funding of learner transport is provided by the provincial treasuries through provincial equitable share.</w:t>
      </w:r>
      <w:r w:rsidR="000B5FD2">
        <w:rPr>
          <w:rFonts w:ascii="Arial" w:hAnsi="Arial" w:cs="Arial"/>
        </w:rPr>
        <w:tab/>
      </w:r>
      <w:r w:rsidR="000B5FD2">
        <w:rPr>
          <w:rFonts w:ascii="Arial" w:eastAsia="Calibri" w:hAnsi="Arial" w:cs="Arial"/>
          <w:lang w:eastAsia="en-US"/>
        </w:rPr>
        <w:t>T</w:t>
      </w:r>
      <w:r w:rsidR="000B5FD2" w:rsidRPr="000B5FD2">
        <w:rPr>
          <w:rFonts w:ascii="Arial" w:eastAsia="Calibri" w:hAnsi="Arial" w:cs="Arial"/>
          <w:lang w:eastAsia="en-US"/>
        </w:rPr>
        <w:t xml:space="preserve">he total budget of scholar transport </w:t>
      </w:r>
      <w:r w:rsidR="00772F56">
        <w:rPr>
          <w:rFonts w:ascii="Arial" w:eastAsia="Calibri" w:hAnsi="Arial" w:cs="Arial"/>
          <w:lang w:eastAsia="en-US"/>
        </w:rPr>
        <w:t>for 2022/2023 was</w:t>
      </w:r>
      <w:r w:rsidR="000B5FD2" w:rsidRPr="000B5FD2">
        <w:rPr>
          <w:rFonts w:ascii="Arial" w:eastAsia="Calibri" w:hAnsi="Arial" w:cs="Arial"/>
          <w:lang w:eastAsia="en-US"/>
        </w:rPr>
        <w:t xml:space="preserve"> </w:t>
      </w:r>
      <w:r w:rsidR="00E22207" w:rsidRPr="00E22207">
        <w:rPr>
          <w:rFonts w:ascii="Arial" w:eastAsia="Calibri" w:hAnsi="Arial" w:cs="Arial"/>
          <w:lang w:eastAsia="en-US"/>
        </w:rPr>
        <w:t>R4,175,636,000.00</w:t>
      </w:r>
      <w:r w:rsidR="00E22207">
        <w:rPr>
          <w:rFonts w:ascii="Arial" w:eastAsia="Calibri" w:hAnsi="Arial" w:cs="Arial"/>
          <w:lang w:eastAsia="en-US"/>
        </w:rPr>
        <w:t xml:space="preserve"> </w:t>
      </w:r>
      <w:r w:rsidR="000B5FD2" w:rsidRPr="000B5FD2">
        <w:rPr>
          <w:rFonts w:ascii="Arial" w:eastAsia="Calibri" w:hAnsi="Arial" w:cs="Arial"/>
          <w:lang w:eastAsia="en-US"/>
        </w:rPr>
        <w:t xml:space="preserve">and is illustrated in the table below: </w:t>
      </w:r>
    </w:p>
    <w:p w:rsidR="000B5FD2" w:rsidRPr="000B5FD2" w:rsidRDefault="000B5FD2" w:rsidP="000B5FD2">
      <w:pPr>
        <w:rPr>
          <w:rFonts w:ascii="Calibri" w:eastAsia="Calibri" w:hAnsi="Calibri" w:cs="Calibri"/>
          <w:sz w:val="22"/>
          <w:szCs w:val="22"/>
          <w:lang w:eastAsia="en-US"/>
        </w:rPr>
      </w:pPr>
    </w:p>
    <w:tbl>
      <w:tblPr>
        <w:tblW w:w="8227" w:type="dxa"/>
        <w:tblInd w:w="699" w:type="dxa"/>
        <w:tblLook w:val="04A0"/>
      </w:tblPr>
      <w:tblGrid>
        <w:gridCol w:w="3982"/>
        <w:gridCol w:w="4245"/>
      </w:tblGrid>
      <w:tr w:rsidR="000B5FD2" w:rsidRPr="000B5FD2" w:rsidTr="00E22207">
        <w:trPr>
          <w:trHeight w:val="331"/>
        </w:trPr>
        <w:tc>
          <w:tcPr>
            <w:tcW w:w="3982" w:type="dxa"/>
            <w:tcBorders>
              <w:top w:val="single" w:sz="8" w:space="0" w:color="auto"/>
              <w:left w:val="single" w:sz="8" w:space="0" w:color="auto"/>
              <w:bottom w:val="single" w:sz="8" w:space="0" w:color="auto"/>
              <w:right w:val="single" w:sz="8" w:space="0" w:color="auto"/>
            </w:tcBorders>
            <w:shd w:val="clear" w:color="000000" w:fill="AEAAAA"/>
            <w:hideMark/>
          </w:tcPr>
          <w:p w:rsidR="000B5FD2" w:rsidRPr="00122AF7" w:rsidRDefault="000B5FD2" w:rsidP="000B5FD2">
            <w:pPr>
              <w:jc w:val="center"/>
              <w:rPr>
                <w:rFonts w:ascii="Calibri" w:hAnsi="Calibri" w:cs="Calibri"/>
                <w:b/>
                <w:bCs/>
                <w:color w:val="000000"/>
              </w:rPr>
            </w:pPr>
            <w:r w:rsidRPr="00122AF7">
              <w:rPr>
                <w:rFonts w:ascii="Calibri" w:hAnsi="Calibri" w:cs="Calibri"/>
                <w:b/>
                <w:bCs/>
                <w:color w:val="000000"/>
              </w:rPr>
              <w:t>Province</w:t>
            </w:r>
          </w:p>
        </w:tc>
        <w:tc>
          <w:tcPr>
            <w:tcW w:w="4245" w:type="dxa"/>
            <w:tcBorders>
              <w:top w:val="single" w:sz="8" w:space="0" w:color="auto"/>
              <w:left w:val="nil"/>
              <w:bottom w:val="single" w:sz="8" w:space="0" w:color="auto"/>
              <w:right w:val="single" w:sz="8" w:space="0" w:color="auto"/>
            </w:tcBorders>
            <w:shd w:val="clear" w:color="000000" w:fill="AEAAAA"/>
            <w:hideMark/>
          </w:tcPr>
          <w:p w:rsidR="000B5FD2" w:rsidRPr="00122AF7" w:rsidRDefault="000B5FD2" w:rsidP="000B5FD2">
            <w:pPr>
              <w:jc w:val="center"/>
              <w:rPr>
                <w:rFonts w:ascii="Calibri" w:hAnsi="Calibri" w:cs="Calibri"/>
                <w:b/>
                <w:bCs/>
                <w:color w:val="000000"/>
              </w:rPr>
            </w:pPr>
            <w:r w:rsidRPr="00122AF7">
              <w:rPr>
                <w:rFonts w:ascii="Calibri" w:hAnsi="Calibri" w:cs="Calibri"/>
                <w:b/>
                <w:bCs/>
                <w:color w:val="000000"/>
              </w:rPr>
              <w:t>Annual Budget 202</w:t>
            </w:r>
            <w:r w:rsidR="00E22207">
              <w:rPr>
                <w:rFonts w:ascii="Calibri" w:hAnsi="Calibri" w:cs="Calibri"/>
                <w:b/>
                <w:bCs/>
                <w:color w:val="000000"/>
              </w:rPr>
              <w:t>3</w:t>
            </w:r>
            <w:r w:rsidRPr="00122AF7">
              <w:rPr>
                <w:rFonts w:ascii="Calibri" w:hAnsi="Calibri" w:cs="Calibri"/>
                <w:b/>
                <w:bCs/>
                <w:color w:val="000000"/>
              </w:rPr>
              <w:t>/202</w:t>
            </w:r>
            <w:r w:rsidR="00E22207">
              <w:rPr>
                <w:rFonts w:ascii="Calibri" w:hAnsi="Calibri" w:cs="Calibri"/>
                <w:b/>
                <w:bCs/>
                <w:color w:val="000000"/>
              </w:rPr>
              <w:t>4</w:t>
            </w:r>
          </w:p>
        </w:tc>
      </w:tr>
      <w:tr w:rsidR="00E22207" w:rsidRPr="000B5FD2" w:rsidTr="00E22207">
        <w:trPr>
          <w:trHeight w:val="121"/>
        </w:trPr>
        <w:tc>
          <w:tcPr>
            <w:tcW w:w="3982" w:type="dxa"/>
            <w:tcBorders>
              <w:top w:val="nil"/>
              <w:left w:val="single" w:sz="8" w:space="0" w:color="auto"/>
              <w:bottom w:val="nil"/>
              <w:right w:val="single" w:sz="8" w:space="0" w:color="auto"/>
            </w:tcBorders>
            <w:shd w:val="clear" w:color="000000" w:fill="AEAAAA"/>
            <w:noWrap/>
            <w:hideMark/>
          </w:tcPr>
          <w:p w:rsidR="00E22207" w:rsidRPr="00122AF7" w:rsidRDefault="00E22207" w:rsidP="00E22207">
            <w:pPr>
              <w:rPr>
                <w:rFonts w:ascii="Calibri" w:hAnsi="Calibri" w:cs="Calibri"/>
                <w:b/>
                <w:bCs/>
                <w:color w:val="000000"/>
              </w:rPr>
            </w:pPr>
            <w:r w:rsidRPr="00122AF7">
              <w:rPr>
                <w:rFonts w:ascii="Calibri" w:hAnsi="Calibri" w:cs="Calibri"/>
                <w:b/>
                <w:bCs/>
                <w:color w:val="000000"/>
              </w:rPr>
              <w:t>Eastern Cape</w:t>
            </w:r>
          </w:p>
        </w:tc>
        <w:tc>
          <w:tcPr>
            <w:tcW w:w="4245" w:type="dxa"/>
            <w:tcBorders>
              <w:top w:val="single" w:sz="8" w:space="0" w:color="auto"/>
              <w:left w:val="nil"/>
              <w:bottom w:val="single" w:sz="8" w:space="0" w:color="auto"/>
              <w:right w:val="single" w:sz="8" w:space="0" w:color="auto"/>
            </w:tcBorders>
            <w:shd w:val="clear" w:color="000000" w:fill="auto"/>
            <w:noWrap/>
            <w:vAlign w:val="center"/>
          </w:tcPr>
          <w:p w:rsidR="00E22207" w:rsidRPr="00122AF7" w:rsidRDefault="00E22207" w:rsidP="00E22207">
            <w:pPr>
              <w:jc w:val="center"/>
              <w:rPr>
                <w:rFonts w:ascii="Calibri" w:hAnsi="Calibri" w:cs="Calibri"/>
                <w:color w:val="000000"/>
              </w:rPr>
            </w:pPr>
            <w:r w:rsidRPr="00D43C84">
              <w:rPr>
                <w:rFonts w:ascii="Calibri" w:hAnsi="Calibri" w:cs="Calibri"/>
                <w:color w:val="000000"/>
              </w:rPr>
              <w:t>R      694,000,000.00</w:t>
            </w:r>
          </w:p>
        </w:tc>
      </w:tr>
      <w:tr w:rsidR="00E22207" w:rsidRPr="000B5FD2" w:rsidTr="00E22207">
        <w:trPr>
          <w:trHeight w:val="302"/>
        </w:trPr>
        <w:tc>
          <w:tcPr>
            <w:tcW w:w="3982" w:type="dxa"/>
            <w:tcBorders>
              <w:top w:val="single" w:sz="4" w:space="0" w:color="auto"/>
              <w:left w:val="single" w:sz="8" w:space="0" w:color="auto"/>
              <w:bottom w:val="single" w:sz="4" w:space="0" w:color="auto"/>
              <w:right w:val="single" w:sz="8" w:space="0" w:color="auto"/>
            </w:tcBorders>
            <w:shd w:val="clear" w:color="000000" w:fill="AEAAAA"/>
            <w:noWrap/>
            <w:hideMark/>
          </w:tcPr>
          <w:p w:rsidR="00E22207" w:rsidRPr="00122AF7" w:rsidRDefault="00E22207" w:rsidP="00E22207">
            <w:pPr>
              <w:rPr>
                <w:rFonts w:ascii="Calibri" w:hAnsi="Calibri" w:cs="Calibri"/>
                <w:b/>
                <w:bCs/>
              </w:rPr>
            </w:pPr>
            <w:r w:rsidRPr="00122AF7">
              <w:rPr>
                <w:rFonts w:ascii="Calibri" w:hAnsi="Calibri" w:cs="Calibri"/>
                <w:b/>
                <w:bCs/>
              </w:rPr>
              <w:t>Free State</w:t>
            </w:r>
          </w:p>
        </w:tc>
        <w:tc>
          <w:tcPr>
            <w:tcW w:w="4245" w:type="dxa"/>
            <w:tcBorders>
              <w:top w:val="single" w:sz="8" w:space="0" w:color="auto"/>
              <w:left w:val="nil"/>
              <w:bottom w:val="single" w:sz="8" w:space="0" w:color="auto"/>
              <w:right w:val="single" w:sz="8" w:space="0" w:color="auto"/>
            </w:tcBorders>
            <w:shd w:val="clear" w:color="000000" w:fill="auto"/>
            <w:noWrap/>
            <w:vAlign w:val="center"/>
          </w:tcPr>
          <w:p w:rsidR="00E22207" w:rsidRPr="00122AF7" w:rsidRDefault="00E22207" w:rsidP="00E22207">
            <w:pPr>
              <w:jc w:val="center"/>
              <w:rPr>
                <w:rFonts w:ascii="Calibri" w:hAnsi="Calibri" w:cs="Calibri"/>
              </w:rPr>
            </w:pPr>
            <w:r w:rsidRPr="00D43C84">
              <w:rPr>
                <w:rFonts w:ascii="Calibri" w:hAnsi="Calibri" w:cs="Calibri"/>
                <w:color w:val="000000"/>
              </w:rPr>
              <w:t>R      102,400,000.00</w:t>
            </w:r>
          </w:p>
        </w:tc>
      </w:tr>
      <w:tr w:rsidR="00E22207" w:rsidRPr="000B5FD2" w:rsidTr="00E22207">
        <w:trPr>
          <w:trHeight w:val="276"/>
        </w:trPr>
        <w:tc>
          <w:tcPr>
            <w:tcW w:w="3982" w:type="dxa"/>
            <w:tcBorders>
              <w:top w:val="nil"/>
              <w:left w:val="single" w:sz="8" w:space="0" w:color="auto"/>
              <w:bottom w:val="single" w:sz="4" w:space="0" w:color="auto"/>
              <w:right w:val="single" w:sz="8" w:space="0" w:color="auto"/>
            </w:tcBorders>
            <w:shd w:val="clear" w:color="000000" w:fill="AEAAAA"/>
            <w:noWrap/>
            <w:hideMark/>
          </w:tcPr>
          <w:p w:rsidR="00E22207" w:rsidRPr="00122AF7" w:rsidRDefault="00E22207" w:rsidP="00E22207">
            <w:pPr>
              <w:rPr>
                <w:rFonts w:ascii="Calibri" w:hAnsi="Calibri" w:cs="Calibri"/>
                <w:b/>
                <w:bCs/>
                <w:color w:val="000000"/>
              </w:rPr>
            </w:pPr>
            <w:r w:rsidRPr="00122AF7">
              <w:rPr>
                <w:rFonts w:ascii="Calibri" w:hAnsi="Calibri" w:cs="Calibri"/>
                <w:b/>
                <w:bCs/>
                <w:color w:val="000000"/>
              </w:rPr>
              <w:t>Gauteng</w:t>
            </w:r>
          </w:p>
        </w:tc>
        <w:tc>
          <w:tcPr>
            <w:tcW w:w="4245" w:type="dxa"/>
            <w:tcBorders>
              <w:top w:val="single" w:sz="8" w:space="0" w:color="auto"/>
              <w:left w:val="nil"/>
              <w:bottom w:val="single" w:sz="8" w:space="0" w:color="auto"/>
              <w:right w:val="single" w:sz="8" w:space="0" w:color="auto"/>
            </w:tcBorders>
            <w:shd w:val="clear" w:color="000000" w:fill="auto"/>
            <w:noWrap/>
            <w:vAlign w:val="center"/>
          </w:tcPr>
          <w:p w:rsidR="00E22207" w:rsidRPr="00122AF7" w:rsidRDefault="00E22207" w:rsidP="00E22207">
            <w:pPr>
              <w:jc w:val="center"/>
              <w:rPr>
                <w:rFonts w:ascii="Calibri" w:hAnsi="Calibri" w:cs="Calibri"/>
                <w:color w:val="000000"/>
              </w:rPr>
            </w:pPr>
            <w:r w:rsidRPr="00D43C84">
              <w:rPr>
                <w:rFonts w:ascii="Calibri" w:hAnsi="Calibri" w:cs="Calibri"/>
                <w:color w:val="000000"/>
              </w:rPr>
              <w:t>R   1,046,934,000.00</w:t>
            </w:r>
          </w:p>
        </w:tc>
      </w:tr>
      <w:tr w:rsidR="00E22207" w:rsidRPr="000B5FD2" w:rsidTr="00E22207">
        <w:trPr>
          <w:trHeight w:val="294"/>
        </w:trPr>
        <w:tc>
          <w:tcPr>
            <w:tcW w:w="3982" w:type="dxa"/>
            <w:tcBorders>
              <w:top w:val="nil"/>
              <w:left w:val="single" w:sz="8" w:space="0" w:color="auto"/>
              <w:bottom w:val="single" w:sz="4" w:space="0" w:color="auto"/>
              <w:right w:val="single" w:sz="8" w:space="0" w:color="auto"/>
            </w:tcBorders>
            <w:shd w:val="clear" w:color="000000" w:fill="AEAAAA"/>
            <w:noWrap/>
            <w:hideMark/>
          </w:tcPr>
          <w:p w:rsidR="00E22207" w:rsidRPr="00122AF7" w:rsidRDefault="00E22207" w:rsidP="00E22207">
            <w:pPr>
              <w:rPr>
                <w:rFonts w:ascii="Calibri" w:hAnsi="Calibri" w:cs="Calibri"/>
                <w:b/>
                <w:bCs/>
                <w:color w:val="000000"/>
              </w:rPr>
            </w:pPr>
            <w:r w:rsidRPr="00122AF7">
              <w:rPr>
                <w:rFonts w:ascii="Calibri" w:hAnsi="Calibri" w:cs="Calibri"/>
                <w:b/>
                <w:bCs/>
                <w:color w:val="000000"/>
              </w:rPr>
              <w:t>KwaZulu Natal</w:t>
            </w:r>
          </w:p>
        </w:tc>
        <w:tc>
          <w:tcPr>
            <w:tcW w:w="4245" w:type="dxa"/>
            <w:tcBorders>
              <w:top w:val="single" w:sz="8" w:space="0" w:color="auto"/>
              <w:left w:val="nil"/>
              <w:bottom w:val="single" w:sz="8" w:space="0" w:color="auto"/>
              <w:right w:val="single" w:sz="8" w:space="0" w:color="auto"/>
            </w:tcBorders>
            <w:shd w:val="clear" w:color="000000" w:fill="auto"/>
            <w:noWrap/>
            <w:vAlign w:val="center"/>
          </w:tcPr>
          <w:p w:rsidR="00E22207" w:rsidRPr="00122AF7" w:rsidRDefault="00E22207" w:rsidP="00E22207">
            <w:pPr>
              <w:jc w:val="center"/>
              <w:rPr>
                <w:rFonts w:ascii="Calibri" w:hAnsi="Calibri" w:cs="Calibri"/>
                <w:color w:val="000000"/>
              </w:rPr>
            </w:pPr>
            <w:r w:rsidRPr="00D43C84">
              <w:rPr>
                <w:rFonts w:ascii="Calibri" w:hAnsi="Calibri" w:cs="Calibri"/>
                <w:color w:val="000000"/>
              </w:rPr>
              <w:t>R      266,400,000.00</w:t>
            </w:r>
          </w:p>
        </w:tc>
      </w:tr>
      <w:tr w:rsidR="00E22207" w:rsidRPr="000B5FD2" w:rsidTr="00E22207">
        <w:trPr>
          <w:trHeight w:val="285"/>
        </w:trPr>
        <w:tc>
          <w:tcPr>
            <w:tcW w:w="3982" w:type="dxa"/>
            <w:tcBorders>
              <w:top w:val="nil"/>
              <w:left w:val="single" w:sz="8" w:space="0" w:color="auto"/>
              <w:bottom w:val="nil"/>
              <w:right w:val="single" w:sz="8" w:space="0" w:color="auto"/>
            </w:tcBorders>
            <w:shd w:val="clear" w:color="000000" w:fill="AEAAAA"/>
            <w:noWrap/>
            <w:hideMark/>
          </w:tcPr>
          <w:p w:rsidR="00E22207" w:rsidRPr="00122AF7" w:rsidRDefault="00E22207" w:rsidP="00E22207">
            <w:pPr>
              <w:rPr>
                <w:rFonts w:ascii="Calibri" w:hAnsi="Calibri" w:cs="Calibri"/>
                <w:b/>
                <w:bCs/>
              </w:rPr>
            </w:pPr>
            <w:r w:rsidRPr="00122AF7">
              <w:rPr>
                <w:rFonts w:ascii="Calibri" w:hAnsi="Calibri" w:cs="Calibri"/>
                <w:b/>
                <w:bCs/>
              </w:rPr>
              <w:t>Limpopo</w:t>
            </w:r>
          </w:p>
        </w:tc>
        <w:tc>
          <w:tcPr>
            <w:tcW w:w="4245" w:type="dxa"/>
            <w:tcBorders>
              <w:top w:val="single" w:sz="8" w:space="0" w:color="auto"/>
              <w:left w:val="nil"/>
              <w:bottom w:val="single" w:sz="8" w:space="0" w:color="auto"/>
              <w:right w:val="single" w:sz="8" w:space="0" w:color="auto"/>
            </w:tcBorders>
            <w:shd w:val="clear" w:color="000000" w:fill="auto"/>
            <w:noWrap/>
            <w:vAlign w:val="center"/>
          </w:tcPr>
          <w:p w:rsidR="00E22207" w:rsidRPr="00122AF7" w:rsidRDefault="00E22207" w:rsidP="00E22207">
            <w:pPr>
              <w:jc w:val="center"/>
              <w:rPr>
                <w:rFonts w:ascii="Calibri" w:hAnsi="Calibri" w:cs="Calibri"/>
              </w:rPr>
            </w:pPr>
            <w:r w:rsidRPr="00D43C84">
              <w:rPr>
                <w:rFonts w:ascii="Calibri" w:hAnsi="Calibri" w:cs="Calibri"/>
                <w:color w:val="000000"/>
              </w:rPr>
              <w:t>R      466,231,000.00</w:t>
            </w:r>
          </w:p>
        </w:tc>
      </w:tr>
      <w:tr w:rsidR="00E22207" w:rsidRPr="000B5FD2" w:rsidTr="00E22207">
        <w:trPr>
          <w:trHeight w:val="304"/>
        </w:trPr>
        <w:tc>
          <w:tcPr>
            <w:tcW w:w="3982" w:type="dxa"/>
            <w:tcBorders>
              <w:top w:val="single" w:sz="4" w:space="0" w:color="auto"/>
              <w:left w:val="single" w:sz="8" w:space="0" w:color="auto"/>
              <w:bottom w:val="nil"/>
              <w:right w:val="single" w:sz="8" w:space="0" w:color="auto"/>
            </w:tcBorders>
            <w:shd w:val="clear" w:color="000000" w:fill="AEAAAA"/>
            <w:noWrap/>
            <w:hideMark/>
          </w:tcPr>
          <w:p w:rsidR="00E22207" w:rsidRPr="00122AF7" w:rsidRDefault="00E22207" w:rsidP="00E22207">
            <w:pPr>
              <w:rPr>
                <w:rFonts w:ascii="Calibri" w:hAnsi="Calibri" w:cs="Calibri"/>
                <w:b/>
                <w:bCs/>
              </w:rPr>
            </w:pPr>
            <w:r w:rsidRPr="00122AF7">
              <w:rPr>
                <w:rFonts w:ascii="Calibri" w:hAnsi="Calibri" w:cs="Calibri"/>
                <w:b/>
                <w:bCs/>
              </w:rPr>
              <w:t>Mpumalanga</w:t>
            </w:r>
          </w:p>
        </w:tc>
        <w:tc>
          <w:tcPr>
            <w:tcW w:w="4245" w:type="dxa"/>
            <w:tcBorders>
              <w:top w:val="single" w:sz="8" w:space="0" w:color="auto"/>
              <w:left w:val="nil"/>
              <w:bottom w:val="single" w:sz="8" w:space="0" w:color="auto"/>
              <w:right w:val="single" w:sz="8" w:space="0" w:color="auto"/>
            </w:tcBorders>
            <w:shd w:val="clear" w:color="000000" w:fill="auto"/>
            <w:noWrap/>
            <w:vAlign w:val="center"/>
          </w:tcPr>
          <w:p w:rsidR="00E22207" w:rsidRPr="00122AF7" w:rsidRDefault="00E22207" w:rsidP="00E22207">
            <w:pPr>
              <w:jc w:val="center"/>
              <w:rPr>
                <w:rFonts w:ascii="Calibri" w:hAnsi="Calibri" w:cs="Calibri"/>
              </w:rPr>
            </w:pPr>
            <w:r w:rsidRPr="00D43C84">
              <w:rPr>
                <w:rFonts w:ascii="Calibri" w:hAnsi="Calibri" w:cs="Calibri"/>
                <w:color w:val="000000"/>
              </w:rPr>
              <w:t>R      464,891,000.00</w:t>
            </w:r>
          </w:p>
        </w:tc>
      </w:tr>
      <w:tr w:rsidR="00E22207" w:rsidRPr="000B5FD2" w:rsidTr="00C148FC">
        <w:trPr>
          <w:trHeight w:val="162"/>
        </w:trPr>
        <w:tc>
          <w:tcPr>
            <w:tcW w:w="3982" w:type="dxa"/>
            <w:tcBorders>
              <w:top w:val="single" w:sz="4" w:space="0" w:color="auto"/>
              <w:left w:val="single" w:sz="8" w:space="0" w:color="auto"/>
              <w:bottom w:val="nil"/>
              <w:right w:val="single" w:sz="8" w:space="0" w:color="auto"/>
            </w:tcBorders>
            <w:shd w:val="clear" w:color="000000" w:fill="AEAAAA"/>
            <w:noWrap/>
          </w:tcPr>
          <w:p w:rsidR="00E22207" w:rsidRPr="00122AF7" w:rsidRDefault="00C148FC" w:rsidP="00E22207">
            <w:pPr>
              <w:rPr>
                <w:rFonts w:ascii="Calibri" w:hAnsi="Calibri" w:cs="Calibri"/>
                <w:b/>
                <w:bCs/>
                <w:color w:val="000000"/>
              </w:rPr>
            </w:pPr>
            <w:r w:rsidRPr="00122AF7">
              <w:rPr>
                <w:rFonts w:ascii="Calibri" w:hAnsi="Calibri" w:cs="Calibri"/>
                <w:b/>
                <w:bCs/>
                <w:color w:val="000000"/>
              </w:rPr>
              <w:t>North West</w:t>
            </w:r>
          </w:p>
        </w:tc>
        <w:tc>
          <w:tcPr>
            <w:tcW w:w="4245" w:type="dxa"/>
            <w:tcBorders>
              <w:top w:val="single" w:sz="8" w:space="0" w:color="auto"/>
              <w:left w:val="nil"/>
              <w:bottom w:val="single" w:sz="8" w:space="0" w:color="auto"/>
              <w:right w:val="single" w:sz="8" w:space="0" w:color="auto"/>
            </w:tcBorders>
            <w:shd w:val="clear" w:color="000000" w:fill="auto"/>
            <w:noWrap/>
            <w:vAlign w:val="center"/>
          </w:tcPr>
          <w:p w:rsidR="00E22207" w:rsidRPr="00122AF7" w:rsidRDefault="00E22207" w:rsidP="00E22207">
            <w:pPr>
              <w:jc w:val="center"/>
              <w:rPr>
                <w:rFonts w:ascii="Calibri" w:hAnsi="Calibri" w:cs="Calibri"/>
                <w:color w:val="000000"/>
              </w:rPr>
            </w:pPr>
            <w:r w:rsidRPr="00D43C84">
              <w:rPr>
                <w:rFonts w:ascii="Calibri" w:hAnsi="Calibri" w:cs="Calibri"/>
                <w:color w:val="000000"/>
              </w:rPr>
              <w:t>R      450,000,000.00</w:t>
            </w:r>
          </w:p>
        </w:tc>
      </w:tr>
      <w:tr w:rsidR="00C148FC" w:rsidRPr="000B5FD2" w:rsidTr="00E22207">
        <w:trPr>
          <w:trHeight w:val="162"/>
        </w:trPr>
        <w:tc>
          <w:tcPr>
            <w:tcW w:w="3982" w:type="dxa"/>
            <w:tcBorders>
              <w:top w:val="single" w:sz="4" w:space="0" w:color="auto"/>
              <w:left w:val="single" w:sz="8" w:space="0" w:color="auto"/>
              <w:bottom w:val="nil"/>
              <w:right w:val="single" w:sz="8" w:space="0" w:color="auto"/>
            </w:tcBorders>
            <w:shd w:val="clear" w:color="000000" w:fill="AEAAAA"/>
            <w:noWrap/>
          </w:tcPr>
          <w:p w:rsidR="00C148FC" w:rsidRPr="00122AF7" w:rsidRDefault="00C148FC" w:rsidP="00C148FC">
            <w:pPr>
              <w:rPr>
                <w:rFonts w:ascii="Calibri" w:hAnsi="Calibri" w:cs="Calibri"/>
                <w:b/>
                <w:bCs/>
                <w:color w:val="000000"/>
              </w:rPr>
            </w:pPr>
            <w:r w:rsidRPr="00122AF7">
              <w:rPr>
                <w:rFonts w:ascii="Calibri" w:hAnsi="Calibri" w:cs="Calibri"/>
                <w:b/>
                <w:bCs/>
                <w:color w:val="000000"/>
              </w:rPr>
              <w:t>Northern Cape</w:t>
            </w:r>
          </w:p>
        </w:tc>
        <w:tc>
          <w:tcPr>
            <w:tcW w:w="4245" w:type="dxa"/>
            <w:tcBorders>
              <w:top w:val="single" w:sz="8" w:space="0" w:color="auto"/>
              <w:left w:val="nil"/>
              <w:bottom w:val="single" w:sz="8" w:space="0" w:color="auto"/>
              <w:right w:val="single" w:sz="8" w:space="0" w:color="auto"/>
            </w:tcBorders>
            <w:shd w:val="clear" w:color="000000" w:fill="auto"/>
            <w:noWrap/>
            <w:vAlign w:val="center"/>
          </w:tcPr>
          <w:p w:rsidR="00C148FC" w:rsidRPr="00D43C84" w:rsidRDefault="00C148FC" w:rsidP="00C148FC">
            <w:pPr>
              <w:jc w:val="center"/>
              <w:rPr>
                <w:rFonts w:ascii="Calibri" w:hAnsi="Calibri" w:cs="Calibri"/>
                <w:color w:val="000000"/>
              </w:rPr>
            </w:pPr>
            <w:r w:rsidRPr="00D43C84">
              <w:rPr>
                <w:rFonts w:ascii="Calibri" w:hAnsi="Calibri" w:cs="Calibri"/>
                <w:color w:val="000000"/>
              </w:rPr>
              <w:t>R      191,481,000.00</w:t>
            </w:r>
          </w:p>
        </w:tc>
      </w:tr>
      <w:tr w:rsidR="00C148FC" w:rsidRPr="000B5FD2" w:rsidTr="00E22207">
        <w:trPr>
          <w:trHeight w:val="196"/>
        </w:trPr>
        <w:tc>
          <w:tcPr>
            <w:tcW w:w="3982" w:type="dxa"/>
            <w:tcBorders>
              <w:top w:val="single" w:sz="4" w:space="0" w:color="auto"/>
              <w:left w:val="single" w:sz="8" w:space="0" w:color="auto"/>
              <w:bottom w:val="nil"/>
              <w:right w:val="single" w:sz="8" w:space="0" w:color="auto"/>
            </w:tcBorders>
            <w:shd w:val="clear" w:color="000000" w:fill="AEAAAA"/>
            <w:noWrap/>
            <w:hideMark/>
          </w:tcPr>
          <w:p w:rsidR="00C148FC" w:rsidRPr="00122AF7" w:rsidRDefault="00C148FC" w:rsidP="00C148FC">
            <w:pPr>
              <w:rPr>
                <w:rFonts w:ascii="Calibri" w:hAnsi="Calibri" w:cs="Calibri"/>
                <w:b/>
                <w:bCs/>
                <w:color w:val="000000"/>
              </w:rPr>
            </w:pPr>
            <w:r w:rsidRPr="00122AF7">
              <w:rPr>
                <w:rFonts w:ascii="Calibri" w:hAnsi="Calibri" w:cs="Calibri"/>
                <w:b/>
                <w:bCs/>
                <w:color w:val="000000"/>
              </w:rPr>
              <w:t>Western Cape</w:t>
            </w:r>
          </w:p>
        </w:tc>
        <w:tc>
          <w:tcPr>
            <w:tcW w:w="4245" w:type="dxa"/>
            <w:tcBorders>
              <w:top w:val="single" w:sz="8" w:space="0" w:color="auto"/>
              <w:left w:val="nil"/>
              <w:bottom w:val="single" w:sz="8" w:space="0" w:color="auto"/>
              <w:right w:val="single" w:sz="8" w:space="0" w:color="auto"/>
            </w:tcBorders>
            <w:shd w:val="clear" w:color="000000" w:fill="auto"/>
            <w:noWrap/>
            <w:vAlign w:val="center"/>
          </w:tcPr>
          <w:p w:rsidR="00C148FC" w:rsidRPr="00122AF7" w:rsidRDefault="00C148FC" w:rsidP="00C148FC">
            <w:pPr>
              <w:jc w:val="center"/>
              <w:rPr>
                <w:rFonts w:ascii="Calibri" w:hAnsi="Calibri" w:cs="Calibri"/>
                <w:color w:val="000000"/>
              </w:rPr>
            </w:pPr>
            <w:r w:rsidRPr="00D43C84">
              <w:rPr>
                <w:rFonts w:ascii="Calibri" w:hAnsi="Calibri" w:cs="Calibri"/>
                <w:color w:val="000000"/>
              </w:rPr>
              <w:t>R      493,299,000.00</w:t>
            </w:r>
          </w:p>
        </w:tc>
      </w:tr>
      <w:tr w:rsidR="00C148FC" w:rsidRPr="000B5FD2" w:rsidTr="00122AF7">
        <w:trPr>
          <w:trHeight w:val="413"/>
        </w:trPr>
        <w:tc>
          <w:tcPr>
            <w:tcW w:w="3982" w:type="dxa"/>
            <w:tcBorders>
              <w:top w:val="single" w:sz="8" w:space="0" w:color="auto"/>
              <w:left w:val="single" w:sz="8" w:space="0" w:color="auto"/>
              <w:bottom w:val="single" w:sz="8" w:space="0" w:color="auto"/>
              <w:right w:val="single" w:sz="8" w:space="0" w:color="auto"/>
            </w:tcBorders>
            <w:shd w:val="clear" w:color="000000" w:fill="AEAAAA"/>
            <w:noWrap/>
            <w:hideMark/>
          </w:tcPr>
          <w:p w:rsidR="00C148FC" w:rsidRPr="00122AF7" w:rsidRDefault="00C148FC" w:rsidP="00C148FC">
            <w:pPr>
              <w:rPr>
                <w:rFonts w:ascii="Calibri" w:hAnsi="Calibri" w:cs="Calibri"/>
                <w:b/>
                <w:bCs/>
                <w:color w:val="000000"/>
              </w:rPr>
            </w:pPr>
            <w:r w:rsidRPr="00122AF7">
              <w:rPr>
                <w:rFonts w:ascii="Calibri" w:hAnsi="Calibri" w:cs="Calibri"/>
                <w:b/>
                <w:bCs/>
                <w:color w:val="000000"/>
              </w:rPr>
              <w:t>TOTAL</w:t>
            </w:r>
          </w:p>
        </w:tc>
        <w:tc>
          <w:tcPr>
            <w:tcW w:w="4245" w:type="dxa"/>
            <w:tcBorders>
              <w:top w:val="nil"/>
              <w:left w:val="nil"/>
              <w:bottom w:val="single" w:sz="8" w:space="0" w:color="auto"/>
              <w:right w:val="single" w:sz="8" w:space="0" w:color="auto"/>
            </w:tcBorders>
            <w:shd w:val="clear" w:color="000000" w:fill="AEAAAA"/>
            <w:noWrap/>
            <w:hideMark/>
          </w:tcPr>
          <w:p w:rsidR="00C148FC" w:rsidRPr="00122AF7" w:rsidRDefault="00C148FC" w:rsidP="00C148FC">
            <w:pPr>
              <w:jc w:val="center"/>
              <w:rPr>
                <w:rFonts w:ascii="Calibri" w:hAnsi="Calibri" w:cs="Calibri"/>
                <w:b/>
                <w:bCs/>
                <w:color w:val="000000"/>
              </w:rPr>
            </w:pPr>
            <w:bookmarkStart w:id="0" w:name="_Hlk133316544"/>
            <w:r w:rsidRPr="00D43C84">
              <w:rPr>
                <w:rFonts w:ascii="Calibri" w:hAnsi="Calibri" w:cs="Calibri"/>
                <w:b/>
                <w:bCs/>
                <w:color w:val="000000"/>
              </w:rPr>
              <w:t>R   4,175,636,000.00</w:t>
            </w:r>
            <w:bookmarkEnd w:id="0"/>
          </w:p>
        </w:tc>
      </w:tr>
    </w:tbl>
    <w:p w:rsidR="00122AF7" w:rsidRDefault="00122AF7" w:rsidP="00122AF7">
      <w:pPr>
        <w:spacing w:line="360" w:lineRule="auto"/>
        <w:ind w:left="567"/>
        <w:jc w:val="both"/>
        <w:rPr>
          <w:rFonts w:ascii="Arial" w:eastAsia="Arial" w:hAnsi="Arial" w:cs="Arial"/>
          <w:b/>
        </w:rPr>
      </w:pPr>
    </w:p>
    <w:p w:rsidR="00122AF7" w:rsidRDefault="00122AF7" w:rsidP="00122AF7">
      <w:pPr>
        <w:ind w:left="709" w:hanging="425"/>
        <w:jc w:val="both"/>
        <w:rPr>
          <w:rFonts w:ascii="Arial" w:hAnsi="Arial" w:cs="Arial"/>
          <w:color w:val="000000"/>
        </w:rPr>
      </w:pPr>
      <w:r>
        <w:rPr>
          <w:rFonts w:ascii="Arial" w:eastAsia="Arial" w:hAnsi="Arial" w:cs="Arial"/>
          <w:b/>
        </w:rPr>
        <w:t xml:space="preserve">(b) </w:t>
      </w:r>
      <w:r w:rsidRPr="007A6177">
        <w:rPr>
          <w:rFonts w:ascii="Arial" w:hAnsi="Arial" w:cs="Arial"/>
        </w:rPr>
        <w:t xml:space="preserve">The Department of Transport has developed a National Learner Transport Policy in order to ensure effective and efficient management of learner transport across the country. The policy provides that a standardised measure of remuneration for subsidised learner transport </w:t>
      </w:r>
      <w:r>
        <w:rPr>
          <w:rFonts w:ascii="Arial" w:hAnsi="Arial" w:cs="Arial"/>
        </w:rPr>
        <w:t xml:space="preserve">and that it </w:t>
      </w:r>
      <w:r w:rsidRPr="007A6177">
        <w:rPr>
          <w:rFonts w:ascii="Arial" w:hAnsi="Arial" w:cs="Arial"/>
        </w:rPr>
        <w:t xml:space="preserve">shall be based on total kilometres travelled. Factors such as road conditions and travel distances shall determine the cost of a service.  </w:t>
      </w:r>
      <w:r>
        <w:rPr>
          <w:rFonts w:ascii="Arial" w:hAnsi="Arial" w:cs="Arial"/>
        </w:rPr>
        <w:t>The Department has further developed a standard contract guideline that provinces could use in the contracting of transport operations. The policy further provides that t</w:t>
      </w:r>
      <w:r w:rsidRPr="006B7539">
        <w:rPr>
          <w:rFonts w:ascii="Arial" w:hAnsi="Arial" w:cs="Arial"/>
          <w:color w:val="000000"/>
        </w:rPr>
        <w:t xml:space="preserve">he </w:t>
      </w:r>
      <w:r w:rsidRPr="006B7539">
        <w:rPr>
          <w:rFonts w:ascii="Arial" w:hAnsi="Arial" w:cs="Arial"/>
          <w:color w:val="000000"/>
        </w:rPr>
        <w:lastRenderedPageBreak/>
        <w:t>implementing department</w:t>
      </w:r>
      <w:r>
        <w:rPr>
          <w:rFonts w:ascii="Arial" w:hAnsi="Arial" w:cs="Arial"/>
          <w:color w:val="000000"/>
        </w:rPr>
        <w:t>s</w:t>
      </w:r>
      <w:r w:rsidRPr="006B7539">
        <w:rPr>
          <w:rFonts w:ascii="Arial" w:hAnsi="Arial" w:cs="Arial"/>
          <w:color w:val="000000"/>
        </w:rPr>
        <w:t xml:space="preserve"> must ensure that learner transport services are undertaken according to procurement legislation and Treasury regulations</w:t>
      </w:r>
      <w:r>
        <w:rPr>
          <w:rFonts w:ascii="Arial" w:hAnsi="Arial" w:cs="Arial"/>
          <w:color w:val="000000"/>
        </w:rPr>
        <w:t xml:space="preserve">. </w:t>
      </w:r>
    </w:p>
    <w:p w:rsidR="00122AF7" w:rsidRDefault="00122AF7" w:rsidP="00122AF7">
      <w:pPr>
        <w:spacing w:line="360" w:lineRule="auto"/>
        <w:ind w:left="709" w:hanging="425"/>
        <w:jc w:val="both"/>
        <w:rPr>
          <w:rFonts w:ascii="Arial" w:hAnsi="Arial" w:cs="Arial"/>
          <w:color w:val="000000"/>
        </w:rPr>
      </w:pPr>
    </w:p>
    <w:p w:rsidR="00772F56" w:rsidRPr="00772F56" w:rsidRDefault="00122AF7" w:rsidP="004D4DF1">
      <w:pPr>
        <w:pStyle w:val="ListParagraph"/>
        <w:numPr>
          <w:ilvl w:val="0"/>
          <w:numId w:val="17"/>
        </w:numPr>
        <w:jc w:val="both"/>
        <w:rPr>
          <w:rFonts w:ascii="Arial" w:hAnsi="Arial" w:cs="Arial"/>
        </w:rPr>
      </w:pPr>
      <w:r w:rsidRPr="00772F56">
        <w:rPr>
          <w:rFonts w:ascii="Arial" w:hAnsi="Arial" w:cs="Arial"/>
        </w:rPr>
        <w:t xml:space="preserve">Funding of learner transport is provided by the provincial treasuries through provincial equitable share. There is no funding of scholar transport from National Department of Transport. </w:t>
      </w:r>
    </w:p>
    <w:p w:rsidR="00122AF7" w:rsidRDefault="00122AF7" w:rsidP="00122AF7">
      <w:pPr>
        <w:pStyle w:val="ListParagraph"/>
        <w:spacing w:line="360" w:lineRule="auto"/>
        <w:jc w:val="both"/>
        <w:rPr>
          <w:rFonts w:ascii="Arial" w:hAnsi="Arial" w:cs="Arial"/>
          <w:color w:val="000000"/>
        </w:rPr>
      </w:pPr>
    </w:p>
    <w:p w:rsidR="00772F56" w:rsidRDefault="00772F56" w:rsidP="00122AF7">
      <w:pPr>
        <w:pStyle w:val="ListParagraph"/>
        <w:spacing w:line="360" w:lineRule="auto"/>
        <w:jc w:val="both"/>
        <w:rPr>
          <w:rFonts w:ascii="Arial" w:hAnsi="Arial" w:cs="Arial"/>
          <w:color w:val="000000"/>
        </w:rPr>
      </w:pPr>
    </w:p>
    <w:p w:rsidR="00772F56" w:rsidRDefault="00772F56" w:rsidP="00122AF7">
      <w:pPr>
        <w:pStyle w:val="ListParagraph"/>
        <w:spacing w:line="360" w:lineRule="auto"/>
        <w:jc w:val="both"/>
        <w:rPr>
          <w:rFonts w:ascii="Arial" w:hAnsi="Arial" w:cs="Arial"/>
          <w:color w:val="000000"/>
        </w:rPr>
      </w:pPr>
    </w:p>
    <w:p w:rsidR="00772F56" w:rsidRPr="00122AF7" w:rsidRDefault="00772F56" w:rsidP="00122AF7">
      <w:pPr>
        <w:pStyle w:val="ListParagraph"/>
        <w:spacing w:line="360" w:lineRule="auto"/>
        <w:jc w:val="both"/>
        <w:rPr>
          <w:rFonts w:ascii="Arial" w:hAnsi="Arial" w:cs="Arial"/>
          <w:color w:val="000000"/>
        </w:rPr>
      </w:pPr>
    </w:p>
    <w:p w:rsidR="00122AF7" w:rsidRPr="00122AF7" w:rsidRDefault="00122AF7" w:rsidP="00772F56">
      <w:pPr>
        <w:pStyle w:val="ListParagraph"/>
        <w:numPr>
          <w:ilvl w:val="0"/>
          <w:numId w:val="17"/>
        </w:numPr>
        <w:jc w:val="both"/>
        <w:rPr>
          <w:rFonts w:ascii="Arial" w:hAnsi="Arial" w:cs="Arial"/>
        </w:rPr>
      </w:pPr>
      <w:r w:rsidRPr="00122AF7">
        <w:rPr>
          <w:rFonts w:ascii="Arial" w:hAnsi="Arial" w:cs="Arial"/>
        </w:rPr>
        <w:t>According to the progress report</w:t>
      </w:r>
      <w:r>
        <w:rPr>
          <w:rFonts w:ascii="Arial" w:hAnsi="Arial" w:cs="Arial"/>
        </w:rPr>
        <w:t>s for provinces in relation to t</w:t>
      </w:r>
      <w:r w:rsidRPr="00122AF7">
        <w:rPr>
          <w:rFonts w:ascii="Arial" w:hAnsi="Arial" w:cs="Arial"/>
        </w:rPr>
        <w:t>he National Learner Transport Programme</w:t>
      </w:r>
      <w:r w:rsidR="00772F56">
        <w:rPr>
          <w:rFonts w:ascii="Arial" w:hAnsi="Arial" w:cs="Arial"/>
        </w:rPr>
        <w:t xml:space="preserve"> for the financial year of 2022.2023</w:t>
      </w:r>
      <w:r w:rsidRPr="00122AF7">
        <w:rPr>
          <w:rFonts w:ascii="Arial" w:hAnsi="Arial" w:cs="Arial"/>
        </w:rPr>
        <w:t>, the implementation of the programme is summarised as follows:</w:t>
      </w:r>
    </w:p>
    <w:p w:rsidR="00122AF7" w:rsidRPr="007739B1" w:rsidRDefault="00122AF7" w:rsidP="00122AF7">
      <w:pPr>
        <w:spacing w:line="360" w:lineRule="auto"/>
        <w:ind w:left="720"/>
        <w:jc w:val="both"/>
        <w:rPr>
          <w:rFonts w:ascii="Arial" w:hAnsi="Arial" w:cs="Arial"/>
        </w:rPr>
      </w:pPr>
    </w:p>
    <w:p w:rsidR="00122AF7" w:rsidRPr="007A6177" w:rsidRDefault="00122AF7" w:rsidP="00122AF7">
      <w:pPr>
        <w:ind w:firstLine="426"/>
        <w:rPr>
          <w:rFonts w:ascii="Arial" w:hAnsi="Arial" w:cs="Arial"/>
          <w:sz w:val="20"/>
          <w:szCs w:val="20"/>
        </w:rPr>
      </w:pPr>
      <w:r w:rsidRPr="00C51243">
        <w:rPr>
          <w:noProof/>
        </w:rPr>
        <w:drawing>
          <wp:inline distT="0" distB="0" distL="0" distR="0">
            <wp:extent cx="5448300" cy="3886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9612" cy="3887136"/>
                    </a:xfrm>
                    <a:prstGeom prst="rect">
                      <a:avLst/>
                    </a:prstGeom>
                    <a:noFill/>
                    <a:ln>
                      <a:noFill/>
                    </a:ln>
                  </pic:spPr>
                </pic:pic>
              </a:graphicData>
            </a:graphic>
          </wp:inline>
        </w:drawing>
      </w:r>
    </w:p>
    <w:sectPr w:rsidR="00122AF7" w:rsidRPr="007A6177" w:rsidSect="00F06C05">
      <w:pgSz w:w="12240" w:h="15840"/>
      <w:pgMar w:top="1418" w:right="1440" w:bottom="851" w:left="184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07A59E7"/>
    <w:multiLevelType w:val="hybridMultilevel"/>
    <w:tmpl w:val="F5A41C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8"/>
  </w:num>
  <w:num w:numId="3">
    <w:abstractNumId w:val="11"/>
  </w:num>
  <w:num w:numId="4">
    <w:abstractNumId w:val="13"/>
  </w:num>
  <w:num w:numId="5">
    <w:abstractNumId w:val="4"/>
  </w:num>
  <w:num w:numId="6">
    <w:abstractNumId w:val="5"/>
  </w:num>
  <w:num w:numId="7">
    <w:abstractNumId w:val="2"/>
  </w:num>
  <w:num w:numId="8">
    <w:abstractNumId w:val="10"/>
  </w:num>
  <w:num w:numId="9">
    <w:abstractNumId w:val="15"/>
  </w:num>
  <w:num w:numId="10">
    <w:abstractNumId w:val="9"/>
  </w:num>
  <w:num w:numId="11">
    <w:abstractNumId w:val="14"/>
  </w:num>
  <w:num w:numId="12">
    <w:abstractNumId w:val="12"/>
  </w:num>
  <w:num w:numId="13">
    <w:abstractNumId w:val="6"/>
  </w:num>
  <w:num w:numId="14">
    <w:abstractNumId w:val="1"/>
  </w:num>
  <w:num w:numId="15">
    <w:abstractNumId w:val="3"/>
  </w:num>
  <w:num w:numId="16">
    <w:abstractNumId w:val="1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117FA"/>
    <w:rsid w:val="00044F85"/>
    <w:rsid w:val="0005022E"/>
    <w:rsid w:val="00052C92"/>
    <w:rsid w:val="0007664C"/>
    <w:rsid w:val="00086505"/>
    <w:rsid w:val="000A2857"/>
    <w:rsid w:val="000B4C44"/>
    <w:rsid w:val="000B5FD2"/>
    <w:rsid w:val="000C7C88"/>
    <w:rsid w:val="000E6C24"/>
    <w:rsid w:val="00107C01"/>
    <w:rsid w:val="00122AF7"/>
    <w:rsid w:val="0012417F"/>
    <w:rsid w:val="001309C7"/>
    <w:rsid w:val="00132355"/>
    <w:rsid w:val="0013351D"/>
    <w:rsid w:val="00134FEC"/>
    <w:rsid w:val="001868E3"/>
    <w:rsid w:val="001B3EC4"/>
    <w:rsid w:val="001C2DD6"/>
    <w:rsid w:val="00206843"/>
    <w:rsid w:val="002472F1"/>
    <w:rsid w:val="00247495"/>
    <w:rsid w:val="00265375"/>
    <w:rsid w:val="00277EB5"/>
    <w:rsid w:val="002A4FCA"/>
    <w:rsid w:val="002B00D9"/>
    <w:rsid w:val="002B0C30"/>
    <w:rsid w:val="002C1241"/>
    <w:rsid w:val="002C1934"/>
    <w:rsid w:val="002C194D"/>
    <w:rsid w:val="002C4CF1"/>
    <w:rsid w:val="002C61D9"/>
    <w:rsid w:val="002E06F3"/>
    <w:rsid w:val="002E6F58"/>
    <w:rsid w:val="002F47F7"/>
    <w:rsid w:val="00313390"/>
    <w:rsid w:val="003328E4"/>
    <w:rsid w:val="00372672"/>
    <w:rsid w:val="003B34E8"/>
    <w:rsid w:val="003C7E3C"/>
    <w:rsid w:val="003D5222"/>
    <w:rsid w:val="003D52BD"/>
    <w:rsid w:val="003F1568"/>
    <w:rsid w:val="003F3F6D"/>
    <w:rsid w:val="003F557A"/>
    <w:rsid w:val="004379DC"/>
    <w:rsid w:val="0046365E"/>
    <w:rsid w:val="004701A6"/>
    <w:rsid w:val="004806A2"/>
    <w:rsid w:val="004932C1"/>
    <w:rsid w:val="004B2B71"/>
    <w:rsid w:val="004D16A8"/>
    <w:rsid w:val="004E6198"/>
    <w:rsid w:val="004E7020"/>
    <w:rsid w:val="004F4A6B"/>
    <w:rsid w:val="00501B14"/>
    <w:rsid w:val="00534306"/>
    <w:rsid w:val="00557E21"/>
    <w:rsid w:val="00561E9A"/>
    <w:rsid w:val="0056271A"/>
    <w:rsid w:val="005677A3"/>
    <w:rsid w:val="00570A69"/>
    <w:rsid w:val="00576770"/>
    <w:rsid w:val="00586D48"/>
    <w:rsid w:val="00591300"/>
    <w:rsid w:val="005A08A8"/>
    <w:rsid w:val="005C0909"/>
    <w:rsid w:val="005E2679"/>
    <w:rsid w:val="005E6B8F"/>
    <w:rsid w:val="0060038E"/>
    <w:rsid w:val="00610853"/>
    <w:rsid w:val="00655F9F"/>
    <w:rsid w:val="00657E00"/>
    <w:rsid w:val="006701DC"/>
    <w:rsid w:val="006739C4"/>
    <w:rsid w:val="0067584E"/>
    <w:rsid w:val="00691F4E"/>
    <w:rsid w:val="006A429C"/>
    <w:rsid w:val="006B064C"/>
    <w:rsid w:val="006B6B51"/>
    <w:rsid w:val="006C4B43"/>
    <w:rsid w:val="006E0080"/>
    <w:rsid w:val="006E4750"/>
    <w:rsid w:val="006F4706"/>
    <w:rsid w:val="007001FC"/>
    <w:rsid w:val="00715DEE"/>
    <w:rsid w:val="007238EF"/>
    <w:rsid w:val="00753F38"/>
    <w:rsid w:val="00772F56"/>
    <w:rsid w:val="007767A1"/>
    <w:rsid w:val="007A6307"/>
    <w:rsid w:val="007B1019"/>
    <w:rsid w:val="007E06B2"/>
    <w:rsid w:val="007F36E3"/>
    <w:rsid w:val="007F718C"/>
    <w:rsid w:val="00807406"/>
    <w:rsid w:val="00810D34"/>
    <w:rsid w:val="00812970"/>
    <w:rsid w:val="00822849"/>
    <w:rsid w:val="008254C7"/>
    <w:rsid w:val="008614A1"/>
    <w:rsid w:val="008955CA"/>
    <w:rsid w:val="008A09A2"/>
    <w:rsid w:val="008A0A1B"/>
    <w:rsid w:val="008D3CCE"/>
    <w:rsid w:val="008F1628"/>
    <w:rsid w:val="0090125D"/>
    <w:rsid w:val="0090745B"/>
    <w:rsid w:val="00922938"/>
    <w:rsid w:val="00925D24"/>
    <w:rsid w:val="00941B5D"/>
    <w:rsid w:val="00944973"/>
    <w:rsid w:val="009603C1"/>
    <w:rsid w:val="00981280"/>
    <w:rsid w:val="009C5FB6"/>
    <w:rsid w:val="00A059E1"/>
    <w:rsid w:val="00A153C9"/>
    <w:rsid w:val="00A15D10"/>
    <w:rsid w:val="00A336A0"/>
    <w:rsid w:val="00A531ED"/>
    <w:rsid w:val="00A731DA"/>
    <w:rsid w:val="00A9681F"/>
    <w:rsid w:val="00AD3304"/>
    <w:rsid w:val="00AE4CDC"/>
    <w:rsid w:val="00B02F9B"/>
    <w:rsid w:val="00B156CE"/>
    <w:rsid w:val="00B34E26"/>
    <w:rsid w:val="00B443DE"/>
    <w:rsid w:val="00B57055"/>
    <w:rsid w:val="00B64F66"/>
    <w:rsid w:val="00B7568A"/>
    <w:rsid w:val="00B7739F"/>
    <w:rsid w:val="00BA0787"/>
    <w:rsid w:val="00BA1986"/>
    <w:rsid w:val="00BA6E5C"/>
    <w:rsid w:val="00BB3EF4"/>
    <w:rsid w:val="00BB45A7"/>
    <w:rsid w:val="00BC0C4F"/>
    <w:rsid w:val="00BD551A"/>
    <w:rsid w:val="00BD599B"/>
    <w:rsid w:val="00BE5CF1"/>
    <w:rsid w:val="00BF462A"/>
    <w:rsid w:val="00BF50BB"/>
    <w:rsid w:val="00BF784C"/>
    <w:rsid w:val="00C148FC"/>
    <w:rsid w:val="00C24899"/>
    <w:rsid w:val="00C5199D"/>
    <w:rsid w:val="00C6106F"/>
    <w:rsid w:val="00C71375"/>
    <w:rsid w:val="00C71DD5"/>
    <w:rsid w:val="00C750B0"/>
    <w:rsid w:val="00CA0772"/>
    <w:rsid w:val="00CA148B"/>
    <w:rsid w:val="00CA43B0"/>
    <w:rsid w:val="00CB4353"/>
    <w:rsid w:val="00CF2AC9"/>
    <w:rsid w:val="00D02ABF"/>
    <w:rsid w:val="00D05BFA"/>
    <w:rsid w:val="00D1156A"/>
    <w:rsid w:val="00D16EAE"/>
    <w:rsid w:val="00D47287"/>
    <w:rsid w:val="00D55D18"/>
    <w:rsid w:val="00D562F1"/>
    <w:rsid w:val="00D73727"/>
    <w:rsid w:val="00D76BC5"/>
    <w:rsid w:val="00DA61A5"/>
    <w:rsid w:val="00DB42D0"/>
    <w:rsid w:val="00DE1F4A"/>
    <w:rsid w:val="00E00D91"/>
    <w:rsid w:val="00E053F3"/>
    <w:rsid w:val="00E10CDD"/>
    <w:rsid w:val="00E15331"/>
    <w:rsid w:val="00E22207"/>
    <w:rsid w:val="00E63081"/>
    <w:rsid w:val="00E76623"/>
    <w:rsid w:val="00EA1950"/>
    <w:rsid w:val="00EA30E1"/>
    <w:rsid w:val="00EA7C9D"/>
    <w:rsid w:val="00EC04B5"/>
    <w:rsid w:val="00EC46E9"/>
    <w:rsid w:val="00ED1221"/>
    <w:rsid w:val="00EE0191"/>
    <w:rsid w:val="00EE3D2F"/>
    <w:rsid w:val="00EF7097"/>
    <w:rsid w:val="00F04BF9"/>
    <w:rsid w:val="00F062BE"/>
    <w:rsid w:val="00F06C05"/>
    <w:rsid w:val="00F072D1"/>
    <w:rsid w:val="00F20EA0"/>
    <w:rsid w:val="00F23EAC"/>
    <w:rsid w:val="00F44916"/>
    <w:rsid w:val="00F45E26"/>
    <w:rsid w:val="00F56850"/>
    <w:rsid w:val="00F5793E"/>
    <w:rsid w:val="00F67911"/>
    <w:rsid w:val="00F94923"/>
    <w:rsid w:val="00FB2958"/>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3D2F"/>
  </w:style>
  <w:style w:type="paragraph" w:styleId="Heading1">
    <w:name w:val="heading 1"/>
    <w:basedOn w:val="Normal"/>
    <w:next w:val="Normal"/>
    <w:rsid w:val="00EE3D2F"/>
    <w:pPr>
      <w:keepNext/>
      <w:jc w:val="both"/>
      <w:outlineLvl w:val="0"/>
    </w:pPr>
    <w:rPr>
      <w:b/>
      <w:sz w:val="36"/>
      <w:szCs w:val="36"/>
    </w:rPr>
  </w:style>
  <w:style w:type="paragraph" w:styleId="Heading2">
    <w:name w:val="heading 2"/>
    <w:basedOn w:val="Normal"/>
    <w:next w:val="Normal"/>
    <w:rsid w:val="00EE3D2F"/>
    <w:pPr>
      <w:keepNext/>
      <w:jc w:val="both"/>
      <w:outlineLvl w:val="1"/>
    </w:pPr>
    <w:rPr>
      <w:i/>
      <w:sz w:val="36"/>
      <w:szCs w:val="36"/>
    </w:rPr>
  </w:style>
  <w:style w:type="paragraph" w:styleId="Heading3">
    <w:name w:val="heading 3"/>
    <w:basedOn w:val="Normal"/>
    <w:next w:val="Normal"/>
    <w:rsid w:val="00EE3D2F"/>
    <w:pPr>
      <w:keepNext/>
      <w:keepLines/>
      <w:spacing w:before="280" w:after="80"/>
      <w:outlineLvl w:val="2"/>
    </w:pPr>
    <w:rPr>
      <w:b/>
      <w:sz w:val="28"/>
      <w:szCs w:val="28"/>
    </w:rPr>
  </w:style>
  <w:style w:type="paragraph" w:styleId="Heading4">
    <w:name w:val="heading 4"/>
    <w:basedOn w:val="Normal"/>
    <w:next w:val="Normal"/>
    <w:rsid w:val="00EE3D2F"/>
    <w:pPr>
      <w:keepNext/>
      <w:keepLines/>
      <w:spacing w:before="240" w:after="40"/>
      <w:outlineLvl w:val="3"/>
    </w:pPr>
    <w:rPr>
      <w:b/>
    </w:rPr>
  </w:style>
  <w:style w:type="paragraph" w:styleId="Heading5">
    <w:name w:val="heading 5"/>
    <w:basedOn w:val="Normal"/>
    <w:next w:val="Normal"/>
    <w:rsid w:val="00EE3D2F"/>
    <w:pPr>
      <w:keepNext/>
      <w:keepLines/>
      <w:spacing w:before="220" w:after="40"/>
      <w:outlineLvl w:val="4"/>
    </w:pPr>
    <w:rPr>
      <w:b/>
      <w:sz w:val="22"/>
      <w:szCs w:val="22"/>
    </w:rPr>
  </w:style>
  <w:style w:type="paragraph" w:styleId="Heading6">
    <w:name w:val="heading 6"/>
    <w:basedOn w:val="Normal"/>
    <w:next w:val="Normal"/>
    <w:rsid w:val="00EE3D2F"/>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E3D2F"/>
    <w:pPr>
      <w:jc w:val="center"/>
    </w:pPr>
    <w:rPr>
      <w:rFonts w:ascii="Arial" w:eastAsia="Arial" w:hAnsi="Arial" w:cs="Arial"/>
      <w:b/>
      <w:color w:val="000000"/>
    </w:rPr>
  </w:style>
  <w:style w:type="paragraph" w:styleId="Subtitle">
    <w:name w:val="Subtitle"/>
    <w:basedOn w:val="Normal"/>
    <w:next w:val="Normal"/>
    <w:rsid w:val="00EE3D2F"/>
    <w:pPr>
      <w:keepNext/>
      <w:keepLines/>
      <w:spacing w:before="360" w:after="80"/>
    </w:pPr>
    <w:rPr>
      <w:rFonts w:ascii="Georgia" w:eastAsia="Georgia" w:hAnsi="Georgia" w:cs="Georgia"/>
      <w:i/>
      <w:color w:val="666666"/>
      <w:sz w:val="48"/>
      <w:szCs w:val="48"/>
    </w:rPr>
  </w:style>
  <w:style w:type="table" w:customStyle="1" w:styleId="a">
    <w:basedOn w:val="TableNormal"/>
    <w:rsid w:val="00EE3D2F"/>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paragraph" w:styleId="BodyText">
    <w:name w:val="Body Text"/>
    <w:basedOn w:val="Normal"/>
    <w:link w:val="BodyTextChar"/>
    <w:uiPriority w:val="1"/>
    <w:qFormat/>
    <w:rsid w:val="00D73727"/>
    <w:pPr>
      <w:widowControl w:val="0"/>
      <w:autoSpaceDE w:val="0"/>
      <w:autoSpaceDN w:val="0"/>
    </w:pPr>
    <w:rPr>
      <w:rFonts w:ascii="Arial MT" w:eastAsia="Arial MT" w:hAnsi="Arial MT" w:cs="Arial MT"/>
      <w:sz w:val="20"/>
      <w:szCs w:val="20"/>
      <w:lang w:val="en-US" w:eastAsia="en-US"/>
    </w:rPr>
  </w:style>
  <w:style w:type="character" w:customStyle="1" w:styleId="BodyTextChar">
    <w:name w:val="Body Text Char"/>
    <w:basedOn w:val="DefaultParagraphFont"/>
    <w:link w:val="BodyText"/>
    <w:uiPriority w:val="1"/>
    <w:rsid w:val="00D73727"/>
    <w:rPr>
      <w:rFonts w:ascii="Arial MT" w:eastAsia="Arial MT" w:hAnsi="Arial MT" w:cs="Arial MT"/>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698555128">
      <w:bodyDiv w:val="1"/>
      <w:marLeft w:val="0"/>
      <w:marRight w:val="0"/>
      <w:marTop w:val="0"/>
      <w:marBottom w:val="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D7DCD-47CD-48A2-A32B-31877F42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2023-04-25T10:03:00Z</cp:lastPrinted>
  <dcterms:created xsi:type="dcterms:W3CDTF">2023-06-02T05:19:00Z</dcterms:created>
  <dcterms:modified xsi:type="dcterms:W3CDTF">2023-06-02T05:19:00Z</dcterms:modified>
</cp:coreProperties>
</file>