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366515" w:rsidRDefault="00366515" w:rsidP="002561C9">
      <w:pPr>
        <w:outlineLvl w:val="0"/>
        <w:rPr>
          <w:rFonts w:ascii="Arial" w:hAnsi="Arial" w:cs="Arial"/>
          <w:sz w:val="20"/>
          <w:szCs w:val="20"/>
        </w:rPr>
      </w:pPr>
    </w:p>
    <w:p w:rsidR="00E54D3D" w:rsidRPr="00860B26" w:rsidRDefault="00E54D3D" w:rsidP="00E54D3D">
      <w:pPr>
        <w:ind w:left="720" w:right="-330" w:hanging="720"/>
        <w:jc w:val="right"/>
        <w:outlineLvl w:val="0"/>
        <w:rPr>
          <w:rFonts w:ascii="Arial" w:hAnsi="Arial" w:cs="Arial"/>
          <w:b/>
        </w:rPr>
      </w:pPr>
      <w:r w:rsidRPr="00860B26">
        <w:rPr>
          <w:rFonts w:ascii="Arial" w:hAnsi="Arial" w:cs="Arial"/>
          <w:b/>
        </w:rPr>
        <w:t>36/1/4/1/2017</w:t>
      </w:r>
    </w:p>
    <w:p w:rsidR="00E54D3D" w:rsidRPr="00860B26" w:rsidRDefault="00E54D3D" w:rsidP="00E54D3D">
      <w:pPr>
        <w:ind w:left="720" w:hanging="720"/>
        <w:jc w:val="center"/>
        <w:outlineLvl w:val="0"/>
        <w:rPr>
          <w:rFonts w:ascii="Arial" w:hAnsi="Arial" w:cs="Arial"/>
          <w:b/>
        </w:rPr>
      </w:pPr>
      <w:r w:rsidRPr="00860B26">
        <w:rPr>
          <w:rFonts w:ascii="Arial" w:hAnsi="Arial" w:cs="Arial"/>
          <w:b/>
        </w:rPr>
        <w:t>NATIONAL ASSEMBLY</w:t>
      </w:r>
    </w:p>
    <w:p w:rsidR="00E54D3D" w:rsidRPr="00860B26" w:rsidRDefault="00E54D3D" w:rsidP="00E54D3D">
      <w:pPr>
        <w:ind w:left="720" w:hanging="720"/>
        <w:jc w:val="both"/>
        <w:outlineLvl w:val="0"/>
        <w:rPr>
          <w:rFonts w:ascii="Arial" w:hAnsi="Arial" w:cs="Arial"/>
          <w:b/>
          <w:u w:val="single"/>
        </w:rPr>
      </w:pPr>
    </w:p>
    <w:p w:rsidR="00E54D3D" w:rsidRPr="00860B26" w:rsidRDefault="00E54D3D" w:rsidP="00E54D3D">
      <w:pPr>
        <w:ind w:left="720" w:hanging="720"/>
        <w:jc w:val="both"/>
        <w:outlineLvl w:val="0"/>
        <w:rPr>
          <w:rFonts w:ascii="Arial" w:hAnsi="Arial" w:cs="Arial"/>
          <w:b/>
          <w:u w:val="single"/>
        </w:rPr>
      </w:pPr>
      <w:r w:rsidRPr="00860B26">
        <w:rPr>
          <w:rFonts w:ascii="Arial" w:hAnsi="Arial" w:cs="Arial"/>
          <w:b/>
          <w:u w:val="single"/>
        </w:rPr>
        <w:t>FOR WRITTEN REPLY</w:t>
      </w:r>
    </w:p>
    <w:p w:rsidR="00E54D3D" w:rsidRPr="00860B26" w:rsidRDefault="00E54D3D" w:rsidP="00E54D3D">
      <w:pPr>
        <w:ind w:left="720" w:hanging="720"/>
        <w:jc w:val="both"/>
        <w:outlineLvl w:val="0"/>
        <w:rPr>
          <w:rFonts w:ascii="Arial" w:hAnsi="Arial" w:cs="Arial"/>
          <w:b/>
          <w:u w:val="single"/>
        </w:rPr>
      </w:pPr>
    </w:p>
    <w:p w:rsidR="00E54D3D" w:rsidRPr="00860B26" w:rsidRDefault="00E54D3D" w:rsidP="00E54D3D">
      <w:pPr>
        <w:ind w:left="720" w:hanging="720"/>
        <w:jc w:val="both"/>
        <w:outlineLvl w:val="0"/>
        <w:rPr>
          <w:rFonts w:ascii="Arial" w:hAnsi="Arial" w:cs="Arial"/>
          <w:b/>
          <w:u w:val="single"/>
        </w:rPr>
      </w:pPr>
      <w:r w:rsidRPr="00860B26">
        <w:rPr>
          <w:rFonts w:ascii="Arial" w:hAnsi="Arial" w:cs="Arial"/>
          <w:b/>
          <w:u w:val="single"/>
        </w:rPr>
        <w:t>QUESTION 1362</w:t>
      </w:r>
    </w:p>
    <w:p w:rsidR="00E54D3D" w:rsidRPr="00860B26" w:rsidRDefault="00E54D3D" w:rsidP="00E54D3D">
      <w:pPr>
        <w:ind w:left="720" w:hanging="720"/>
        <w:jc w:val="both"/>
        <w:outlineLvl w:val="0"/>
        <w:rPr>
          <w:rFonts w:ascii="Arial" w:hAnsi="Arial" w:cs="Arial"/>
          <w:b/>
          <w:u w:val="single"/>
        </w:rPr>
      </w:pPr>
    </w:p>
    <w:p w:rsidR="00E54D3D" w:rsidRPr="00860B26" w:rsidRDefault="00E54D3D" w:rsidP="00E54D3D">
      <w:pPr>
        <w:ind w:left="720" w:right="-188" w:hanging="720"/>
        <w:jc w:val="center"/>
        <w:outlineLvl w:val="0"/>
        <w:rPr>
          <w:rFonts w:ascii="Arial" w:hAnsi="Arial" w:cs="Arial"/>
          <w:b/>
          <w:u w:val="single"/>
        </w:rPr>
      </w:pPr>
      <w:r w:rsidRPr="00860B26">
        <w:rPr>
          <w:rFonts w:ascii="Arial" w:hAnsi="Arial" w:cs="Arial"/>
          <w:b/>
          <w:u w:val="single"/>
        </w:rPr>
        <w:t>DATE OF PUBLICATION IN INTERNAL QUESTION PAPER: 19 MAY 2017</w:t>
      </w:r>
    </w:p>
    <w:p w:rsidR="00E54D3D" w:rsidRPr="00860B26" w:rsidRDefault="00E54D3D" w:rsidP="00E54D3D">
      <w:pPr>
        <w:jc w:val="center"/>
        <w:rPr>
          <w:rFonts w:ascii="Arial" w:hAnsi="Arial" w:cs="Arial"/>
          <w:b/>
          <w:u w:val="single"/>
        </w:rPr>
      </w:pPr>
      <w:r w:rsidRPr="00860B26">
        <w:rPr>
          <w:rFonts w:ascii="Arial" w:hAnsi="Arial" w:cs="Arial"/>
          <w:b/>
          <w:u w:val="single"/>
        </w:rPr>
        <w:t>(INTERNAL QUESTION PAPER NO 17- 2017)</w:t>
      </w:r>
    </w:p>
    <w:p w:rsidR="00E54D3D" w:rsidRPr="00860B26" w:rsidRDefault="00E54D3D" w:rsidP="00E54D3D">
      <w:pPr>
        <w:ind w:left="818" w:hanging="818"/>
        <w:rPr>
          <w:rFonts w:ascii="Arial" w:hAnsi="Arial" w:cs="Arial"/>
          <w:b/>
        </w:rPr>
      </w:pPr>
    </w:p>
    <w:p w:rsidR="00E54D3D" w:rsidRPr="00860B26" w:rsidRDefault="00E54D3D" w:rsidP="00E54D3D">
      <w:pPr>
        <w:ind w:left="818" w:hanging="818"/>
        <w:rPr>
          <w:rFonts w:ascii="Arial" w:hAnsi="Arial" w:cs="Arial"/>
          <w:b/>
        </w:rPr>
      </w:pPr>
      <w:r w:rsidRPr="00860B26">
        <w:rPr>
          <w:rFonts w:ascii="Arial" w:hAnsi="Arial" w:cs="Arial"/>
          <w:b/>
        </w:rPr>
        <w:t>1362.</w:t>
      </w:r>
      <w:r w:rsidRPr="00860B26">
        <w:rPr>
          <w:rFonts w:ascii="Arial" w:hAnsi="Arial" w:cs="Arial"/>
          <w:b/>
        </w:rPr>
        <w:tab/>
      </w:r>
      <w:proofErr w:type="spellStart"/>
      <w:r w:rsidRPr="00860B26">
        <w:rPr>
          <w:rFonts w:ascii="Arial" w:hAnsi="Arial" w:cs="Arial"/>
          <w:b/>
        </w:rPr>
        <w:t>Mr</w:t>
      </w:r>
      <w:proofErr w:type="spellEnd"/>
      <w:r w:rsidRPr="00860B26">
        <w:rPr>
          <w:rFonts w:ascii="Arial" w:hAnsi="Arial" w:cs="Arial"/>
          <w:b/>
        </w:rPr>
        <w:t xml:space="preserve"> H C </w:t>
      </w:r>
      <w:proofErr w:type="spellStart"/>
      <w:r w:rsidRPr="00860B26">
        <w:rPr>
          <w:rFonts w:ascii="Arial" w:hAnsi="Arial" w:cs="Arial"/>
          <w:b/>
        </w:rPr>
        <w:t>C</w:t>
      </w:r>
      <w:proofErr w:type="spellEnd"/>
      <w:r w:rsidRPr="00860B26">
        <w:rPr>
          <w:rFonts w:ascii="Arial" w:hAnsi="Arial" w:cs="Arial"/>
          <w:b/>
        </w:rPr>
        <w:t xml:space="preserve"> </w:t>
      </w:r>
      <w:proofErr w:type="spellStart"/>
      <w:r w:rsidRPr="00860B26">
        <w:rPr>
          <w:rFonts w:ascii="Arial" w:hAnsi="Arial" w:cs="Arial"/>
          <w:b/>
        </w:rPr>
        <w:t>Krüger</w:t>
      </w:r>
      <w:proofErr w:type="spellEnd"/>
      <w:r w:rsidRPr="00860B26">
        <w:rPr>
          <w:rFonts w:ascii="Arial" w:hAnsi="Arial" w:cs="Arial"/>
          <w:b/>
        </w:rPr>
        <w:t xml:space="preserve"> (DA) to ask the Minister of Police:</w:t>
      </w:r>
    </w:p>
    <w:p w:rsidR="00E54D3D" w:rsidRDefault="00E54D3D" w:rsidP="00E54D3D">
      <w:pPr>
        <w:jc w:val="both"/>
        <w:outlineLvl w:val="0"/>
        <w:rPr>
          <w:rFonts w:ascii="Arial" w:hAnsi="Arial" w:cs="Arial"/>
          <w:color w:val="000000"/>
        </w:rPr>
      </w:pPr>
    </w:p>
    <w:p w:rsidR="00E54D3D" w:rsidRDefault="00E54D3D" w:rsidP="00E54D3D">
      <w:pPr>
        <w:jc w:val="both"/>
        <w:outlineLvl w:val="0"/>
        <w:rPr>
          <w:rFonts w:ascii="Arial" w:hAnsi="Arial" w:cs="Arial"/>
          <w:color w:val="000000"/>
        </w:rPr>
      </w:pPr>
      <w:r w:rsidRPr="00860B26">
        <w:rPr>
          <w:rFonts w:ascii="Arial" w:hAnsi="Arial" w:cs="Arial"/>
          <w:color w:val="000000"/>
        </w:rPr>
        <w:t xml:space="preserve">Whether, with reference to his reply to question 1067 on 25 April 2016, the outstanding information has been sourced; if not, why not; if so, by what date will it be </w:t>
      </w:r>
      <w:r w:rsidRPr="00860B26">
        <w:rPr>
          <w:rFonts w:ascii="Arial" w:hAnsi="Arial" w:cs="Arial"/>
        </w:rPr>
        <w:t>communicated</w:t>
      </w:r>
      <w:r w:rsidRPr="00860B26">
        <w:rPr>
          <w:rFonts w:ascii="Arial" w:hAnsi="Arial" w:cs="Arial"/>
          <w:color w:val="000000"/>
        </w:rPr>
        <w:t>?</w:t>
      </w:r>
    </w:p>
    <w:p w:rsidR="00E54D3D" w:rsidRDefault="00E54D3D" w:rsidP="00E54D3D">
      <w:pPr>
        <w:jc w:val="right"/>
        <w:outlineLvl w:val="0"/>
        <w:rPr>
          <w:rFonts w:ascii="Arial" w:hAnsi="Arial" w:cs="Arial"/>
          <w:color w:val="000000"/>
        </w:rPr>
      </w:pPr>
      <w:r w:rsidRPr="00860B26">
        <w:rPr>
          <w:rFonts w:ascii="Arial" w:hAnsi="Arial" w:cs="Arial"/>
          <w:color w:val="000000"/>
        </w:rPr>
        <w:t>NW1504E</w:t>
      </w:r>
    </w:p>
    <w:p w:rsidR="00E54D3D" w:rsidRDefault="00E54D3D" w:rsidP="00E54D3D">
      <w:pPr>
        <w:jc w:val="both"/>
        <w:outlineLvl w:val="0"/>
        <w:rPr>
          <w:rFonts w:ascii="Arial" w:hAnsi="Arial" w:cs="Arial"/>
          <w:color w:val="000000"/>
        </w:rPr>
      </w:pPr>
      <w:r w:rsidRPr="00860B26">
        <w:rPr>
          <w:rFonts w:ascii="Arial" w:hAnsi="Arial" w:cs="Arial"/>
          <w:b/>
          <w:color w:val="000000"/>
        </w:rPr>
        <w:t>REPLY:</w:t>
      </w:r>
      <w:r>
        <w:rPr>
          <w:rFonts w:ascii="Arial" w:hAnsi="Arial" w:cs="Arial"/>
          <w:b/>
          <w:color w:val="000000"/>
        </w:rPr>
        <w:t xml:space="preserve"> </w:t>
      </w:r>
      <w:r>
        <w:rPr>
          <w:rFonts w:ascii="Arial" w:hAnsi="Arial" w:cs="Arial"/>
          <w:color w:val="000000"/>
        </w:rPr>
        <w:t>Yes information is sourced</w:t>
      </w:r>
      <w:r>
        <w:rPr>
          <w:rFonts w:ascii="Arial" w:hAnsi="Arial" w:cs="Arial"/>
          <w:color w:val="000000"/>
        </w:rPr>
        <w:t xml:space="preserve">, </w:t>
      </w:r>
      <w:bookmarkStart w:id="0" w:name="_GoBack"/>
      <w:bookmarkEnd w:id="0"/>
      <w:r>
        <w:rPr>
          <w:rFonts w:ascii="Arial" w:hAnsi="Arial" w:cs="Arial"/>
          <w:color w:val="000000"/>
        </w:rPr>
        <w:t>below is the information</w:t>
      </w:r>
    </w:p>
    <w:p w:rsidR="00E54D3D" w:rsidRDefault="00E54D3D" w:rsidP="00E54D3D">
      <w:pPr>
        <w:jc w:val="both"/>
        <w:outlineLvl w:val="0"/>
        <w:rPr>
          <w:rFonts w:ascii="Arial" w:hAnsi="Arial" w:cs="Arial"/>
          <w:color w:val="000000"/>
        </w:rPr>
      </w:pPr>
    </w:p>
    <w:p w:rsidR="00E54D3D" w:rsidRDefault="00E54D3D" w:rsidP="00E54D3D">
      <w:pPr>
        <w:spacing w:after="160" w:line="259" w:lineRule="auto"/>
        <w:rPr>
          <w:rFonts w:ascii="Arial" w:hAnsi="Arial" w:cs="Arial"/>
        </w:rPr>
      </w:pPr>
      <w:r w:rsidRPr="00BB1282">
        <w:rPr>
          <w:rFonts w:ascii="Arial" w:hAnsi="Arial" w:cs="Arial"/>
        </w:rPr>
        <w:t>(1)(a)(</w:t>
      </w:r>
      <w:proofErr w:type="spellStart"/>
      <w:proofErr w:type="gramStart"/>
      <w:r w:rsidRPr="00BB1282">
        <w:rPr>
          <w:rFonts w:ascii="Arial" w:hAnsi="Arial" w:cs="Arial"/>
        </w:rPr>
        <w:t>i</w:t>
      </w:r>
      <w:proofErr w:type="spellEnd"/>
      <w:proofErr w:type="gramEnd"/>
      <w:r w:rsidRPr="00BB1282">
        <w:rPr>
          <w:rFonts w:ascii="Arial" w:hAnsi="Arial" w:cs="Arial"/>
        </w:rPr>
        <w:t>)(</w:t>
      </w:r>
      <w:proofErr w:type="spellStart"/>
      <w:proofErr w:type="gramStart"/>
      <w:r w:rsidRPr="00BB1282">
        <w:rPr>
          <w:rFonts w:ascii="Arial" w:hAnsi="Arial" w:cs="Arial"/>
        </w:rPr>
        <w:t>aa</w:t>
      </w:r>
      <w:proofErr w:type="spellEnd"/>
      <w:proofErr w:type="gramEnd"/>
      <w:r w:rsidRPr="00BB1282">
        <w:rPr>
          <w:rFonts w:ascii="Arial" w:hAnsi="Arial" w:cs="Arial"/>
        </w:rPr>
        <w:t>)</w:t>
      </w:r>
      <w:r>
        <w:rPr>
          <w:rFonts w:ascii="Arial" w:hAnsi="Arial" w:cs="Arial"/>
        </w:rPr>
        <w:tab/>
      </w:r>
      <w:r>
        <w:rPr>
          <w:rFonts w:ascii="Arial" w:hAnsi="Arial" w:cs="Arial"/>
        </w:rPr>
        <w:tab/>
        <w:t>2009-10</w:t>
      </w:r>
      <w:r>
        <w:rPr>
          <w:rFonts w:ascii="Arial" w:hAnsi="Arial" w:cs="Arial"/>
        </w:rPr>
        <w:tab/>
      </w:r>
      <w:r w:rsidRPr="00BB1282">
        <w:rPr>
          <w:rFonts w:ascii="Arial" w:hAnsi="Arial" w:cs="Arial"/>
        </w:rPr>
        <w:t>16</w:t>
      </w:r>
    </w:p>
    <w:p w:rsidR="00E54D3D" w:rsidRPr="00BB1282" w:rsidRDefault="00E54D3D" w:rsidP="00E54D3D">
      <w:pPr>
        <w:spacing w:after="160" w:line="259" w:lineRule="auto"/>
        <w:rPr>
          <w:rFonts w:ascii="Arial" w:hAnsi="Arial" w:cs="Arial"/>
        </w:rPr>
      </w:pPr>
      <w:r>
        <w:rPr>
          <w:rFonts w:ascii="Arial" w:hAnsi="Arial" w:cs="Arial"/>
        </w:rPr>
        <w:t>(1)(a)(</w:t>
      </w:r>
      <w:proofErr w:type="spellStart"/>
      <w:proofErr w:type="gramStart"/>
      <w:r>
        <w:rPr>
          <w:rFonts w:ascii="Arial" w:hAnsi="Arial" w:cs="Arial"/>
        </w:rPr>
        <w:t>i</w:t>
      </w:r>
      <w:proofErr w:type="spellEnd"/>
      <w:proofErr w:type="gramEnd"/>
      <w:r>
        <w:rPr>
          <w:rFonts w:ascii="Arial" w:hAnsi="Arial" w:cs="Arial"/>
        </w:rPr>
        <w:t>)</w:t>
      </w:r>
      <w:r w:rsidRPr="00BB1282">
        <w:rPr>
          <w:rFonts w:ascii="Arial" w:hAnsi="Arial" w:cs="Arial"/>
        </w:rPr>
        <w:t>(</w:t>
      </w:r>
      <w:proofErr w:type="gramStart"/>
      <w:r w:rsidRPr="00BB1282">
        <w:rPr>
          <w:rFonts w:ascii="Arial" w:hAnsi="Arial" w:cs="Arial"/>
        </w:rPr>
        <w:t>bb</w:t>
      </w:r>
      <w:proofErr w:type="gramEnd"/>
      <w:r w:rsidRPr="00BB1282">
        <w:rPr>
          <w:rFonts w:ascii="Arial" w:hAnsi="Arial" w:cs="Arial"/>
        </w:rPr>
        <w:t xml:space="preserve">) </w:t>
      </w:r>
      <w:r>
        <w:rPr>
          <w:rFonts w:ascii="Arial" w:hAnsi="Arial" w:cs="Arial"/>
        </w:rPr>
        <w:tab/>
      </w:r>
      <w:r>
        <w:rPr>
          <w:rFonts w:ascii="Arial" w:hAnsi="Arial" w:cs="Arial"/>
        </w:rPr>
        <w:tab/>
      </w:r>
      <w:r w:rsidRPr="00BB1282">
        <w:rPr>
          <w:rFonts w:ascii="Arial" w:hAnsi="Arial" w:cs="Arial"/>
        </w:rPr>
        <w:t>2010-11</w:t>
      </w:r>
      <w:r>
        <w:rPr>
          <w:rFonts w:ascii="Arial" w:hAnsi="Arial" w:cs="Arial"/>
        </w:rPr>
        <w:tab/>
      </w:r>
      <w:r w:rsidRPr="00BB1282">
        <w:rPr>
          <w:rFonts w:ascii="Arial" w:hAnsi="Arial" w:cs="Arial"/>
        </w:rPr>
        <w:t>16</w:t>
      </w:r>
    </w:p>
    <w:p w:rsidR="00E54D3D" w:rsidRPr="00BB1282" w:rsidRDefault="00E54D3D" w:rsidP="00E54D3D">
      <w:pPr>
        <w:rPr>
          <w:rFonts w:ascii="Arial" w:hAnsi="Arial" w:cs="Arial"/>
        </w:rPr>
      </w:pPr>
      <w:r>
        <w:rPr>
          <w:rFonts w:ascii="Arial" w:hAnsi="Arial" w:cs="Arial"/>
        </w:rPr>
        <w:t>(1)(a)(</w:t>
      </w:r>
      <w:proofErr w:type="spellStart"/>
      <w:proofErr w:type="gramStart"/>
      <w:r>
        <w:rPr>
          <w:rFonts w:ascii="Arial" w:hAnsi="Arial" w:cs="Arial"/>
        </w:rPr>
        <w:t>i</w:t>
      </w:r>
      <w:proofErr w:type="spellEnd"/>
      <w:proofErr w:type="gramEnd"/>
      <w:r>
        <w:rPr>
          <w:rFonts w:ascii="Arial" w:hAnsi="Arial" w:cs="Arial"/>
        </w:rPr>
        <w:t>)</w:t>
      </w:r>
      <w:r w:rsidRPr="00BB1282">
        <w:rPr>
          <w:rFonts w:ascii="Arial" w:hAnsi="Arial" w:cs="Arial"/>
        </w:rPr>
        <w:t xml:space="preserve">(cc) </w:t>
      </w:r>
      <w:r>
        <w:rPr>
          <w:rFonts w:ascii="Arial" w:hAnsi="Arial" w:cs="Arial"/>
        </w:rPr>
        <w:tab/>
      </w:r>
      <w:r>
        <w:rPr>
          <w:rFonts w:ascii="Arial" w:hAnsi="Arial" w:cs="Arial"/>
        </w:rPr>
        <w:tab/>
      </w:r>
      <w:r w:rsidRPr="00BB1282">
        <w:rPr>
          <w:rFonts w:ascii="Arial" w:hAnsi="Arial" w:cs="Arial"/>
        </w:rPr>
        <w:t>2011-12</w:t>
      </w:r>
      <w:r>
        <w:rPr>
          <w:rFonts w:ascii="Arial" w:hAnsi="Arial" w:cs="Arial"/>
        </w:rPr>
        <w:tab/>
      </w:r>
      <w:proofErr w:type="gramStart"/>
      <w:r w:rsidRPr="00BB1282">
        <w:rPr>
          <w:rFonts w:ascii="Arial" w:hAnsi="Arial" w:cs="Arial"/>
        </w:rPr>
        <w:t>56  (</w:t>
      </w:r>
      <w:proofErr w:type="gramEnd"/>
      <w:r w:rsidRPr="00BB1282">
        <w:rPr>
          <w:rFonts w:ascii="Arial" w:hAnsi="Arial" w:cs="Arial"/>
        </w:rPr>
        <w:t>CATS capacity decentralized to all provinces)</w:t>
      </w:r>
    </w:p>
    <w:p w:rsidR="00E54D3D" w:rsidRPr="00BB1282" w:rsidRDefault="00E54D3D" w:rsidP="00E54D3D">
      <w:pPr>
        <w:rPr>
          <w:rFonts w:ascii="Arial" w:hAnsi="Arial" w:cs="Arial"/>
        </w:rPr>
      </w:pPr>
      <w:r>
        <w:rPr>
          <w:rFonts w:ascii="Arial" w:hAnsi="Arial" w:cs="Arial"/>
        </w:rPr>
        <w:t>(1)(a)(</w:t>
      </w:r>
      <w:proofErr w:type="spellStart"/>
      <w:proofErr w:type="gramStart"/>
      <w:r>
        <w:rPr>
          <w:rFonts w:ascii="Arial" w:hAnsi="Arial" w:cs="Arial"/>
        </w:rPr>
        <w:t>i</w:t>
      </w:r>
      <w:proofErr w:type="spellEnd"/>
      <w:proofErr w:type="gramEnd"/>
      <w:r>
        <w:rPr>
          <w:rFonts w:ascii="Arial" w:hAnsi="Arial" w:cs="Arial"/>
        </w:rPr>
        <w:t>)(</w:t>
      </w:r>
      <w:proofErr w:type="spellStart"/>
      <w:proofErr w:type="gramStart"/>
      <w:r>
        <w:rPr>
          <w:rFonts w:ascii="Arial" w:hAnsi="Arial" w:cs="Arial"/>
        </w:rPr>
        <w:t>dd</w:t>
      </w:r>
      <w:proofErr w:type="spellEnd"/>
      <w:proofErr w:type="gramEnd"/>
      <w:r>
        <w:rPr>
          <w:rFonts w:ascii="Arial" w:hAnsi="Arial" w:cs="Arial"/>
        </w:rPr>
        <w:t>)</w:t>
      </w:r>
      <w:r>
        <w:rPr>
          <w:rFonts w:ascii="Arial" w:hAnsi="Arial" w:cs="Arial"/>
        </w:rPr>
        <w:tab/>
      </w:r>
      <w:r>
        <w:rPr>
          <w:rFonts w:ascii="Arial" w:hAnsi="Arial" w:cs="Arial"/>
        </w:rPr>
        <w:tab/>
        <w:t>2012-13</w:t>
      </w:r>
      <w:r>
        <w:rPr>
          <w:rFonts w:ascii="Arial" w:hAnsi="Arial" w:cs="Arial"/>
        </w:rPr>
        <w:tab/>
      </w:r>
      <w:r w:rsidRPr="00BB1282">
        <w:rPr>
          <w:rFonts w:ascii="Arial" w:hAnsi="Arial" w:cs="Arial"/>
        </w:rPr>
        <w:t>64</w:t>
      </w:r>
    </w:p>
    <w:p w:rsidR="00E54D3D" w:rsidRPr="00BB1282" w:rsidRDefault="00E54D3D" w:rsidP="00E54D3D">
      <w:pPr>
        <w:rPr>
          <w:rFonts w:ascii="Arial" w:hAnsi="Arial" w:cs="Arial"/>
        </w:rPr>
      </w:pPr>
      <w:r>
        <w:rPr>
          <w:rFonts w:ascii="Arial" w:hAnsi="Arial" w:cs="Arial"/>
        </w:rPr>
        <w:t>(1)(a)(</w:t>
      </w:r>
      <w:proofErr w:type="spellStart"/>
      <w:proofErr w:type="gramStart"/>
      <w:r>
        <w:rPr>
          <w:rFonts w:ascii="Arial" w:hAnsi="Arial" w:cs="Arial"/>
        </w:rPr>
        <w:t>i</w:t>
      </w:r>
      <w:proofErr w:type="spellEnd"/>
      <w:proofErr w:type="gramEnd"/>
      <w:r>
        <w:rPr>
          <w:rFonts w:ascii="Arial" w:hAnsi="Arial" w:cs="Arial"/>
        </w:rPr>
        <w:t>)</w:t>
      </w:r>
      <w:r w:rsidRPr="00BB1282">
        <w:rPr>
          <w:rFonts w:ascii="Arial" w:hAnsi="Arial" w:cs="Arial"/>
        </w:rPr>
        <w:t>(</w:t>
      </w:r>
      <w:proofErr w:type="spellStart"/>
      <w:proofErr w:type="gramStart"/>
      <w:r w:rsidRPr="00BB1282">
        <w:rPr>
          <w:rFonts w:ascii="Arial" w:hAnsi="Arial" w:cs="Arial"/>
        </w:rPr>
        <w:t>ee</w:t>
      </w:r>
      <w:proofErr w:type="spellEnd"/>
      <w:proofErr w:type="gramEnd"/>
      <w:r w:rsidRPr="00BB1282">
        <w:rPr>
          <w:rFonts w:ascii="Arial" w:hAnsi="Arial" w:cs="Arial"/>
        </w:rPr>
        <w:t xml:space="preserve">) </w:t>
      </w:r>
      <w:r>
        <w:rPr>
          <w:rFonts w:ascii="Arial" w:hAnsi="Arial" w:cs="Arial"/>
        </w:rPr>
        <w:tab/>
      </w:r>
      <w:r>
        <w:rPr>
          <w:rFonts w:ascii="Arial" w:hAnsi="Arial" w:cs="Arial"/>
        </w:rPr>
        <w:tab/>
        <w:t>2013-14</w:t>
      </w:r>
      <w:r>
        <w:rPr>
          <w:rFonts w:ascii="Arial" w:hAnsi="Arial" w:cs="Arial"/>
        </w:rPr>
        <w:tab/>
      </w:r>
      <w:r w:rsidRPr="00BB1282">
        <w:rPr>
          <w:rFonts w:ascii="Arial" w:hAnsi="Arial" w:cs="Arial"/>
        </w:rPr>
        <w:t>64</w:t>
      </w:r>
    </w:p>
    <w:p w:rsidR="00E54D3D" w:rsidRPr="00BB1282" w:rsidRDefault="00E54D3D" w:rsidP="00E54D3D">
      <w:pPr>
        <w:rPr>
          <w:rFonts w:ascii="Arial" w:hAnsi="Arial" w:cs="Arial"/>
        </w:rPr>
      </w:pPr>
      <w:r>
        <w:rPr>
          <w:rFonts w:ascii="Arial" w:hAnsi="Arial" w:cs="Arial"/>
        </w:rPr>
        <w:t>(1)(a)(</w:t>
      </w:r>
      <w:proofErr w:type="spellStart"/>
      <w:proofErr w:type="gramStart"/>
      <w:r>
        <w:rPr>
          <w:rFonts w:ascii="Arial" w:hAnsi="Arial" w:cs="Arial"/>
        </w:rPr>
        <w:t>i</w:t>
      </w:r>
      <w:proofErr w:type="spellEnd"/>
      <w:proofErr w:type="gramEnd"/>
      <w:r>
        <w:rPr>
          <w:rFonts w:ascii="Arial" w:hAnsi="Arial" w:cs="Arial"/>
        </w:rPr>
        <w:t>)</w:t>
      </w:r>
      <w:r w:rsidRPr="00BB1282">
        <w:rPr>
          <w:rFonts w:ascii="Arial" w:hAnsi="Arial" w:cs="Arial"/>
        </w:rPr>
        <w:t>(</w:t>
      </w:r>
      <w:proofErr w:type="spellStart"/>
      <w:proofErr w:type="gramStart"/>
      <w:r w:rsidRPr="00BB1282">
        <w:rPr>
          <w:rFonts w:ascii="Arial" w:hAnsi="Arial" w:cs="Arial"/>
        </w:rPr>
        <w:t>ff</w:t>
      </w:r>
      <w:proofErr w:type="spellEnd"/>
      <w:proofErr w:type="gramEnd"/>
      <w:r w:rsidRPr="00BB1282">
        <w:rPr>
          <w:rFonts w:ascii="Arial" w:hAnsi="Arial" w:cs="Arial"/>
        </w:rPr>
        <w:t xml:space="preserve">) </w:t>
      </w:r>
      <w:r>
        <w:rPr>
          <w:rFonts w:ascii="Arial" w:hAnsi="Arial" w:cs="Arial"/>
        </w:rPr>
        <w:tab/>
      </w:r>
      <w:r>
        <w:rPr>
          <w:rFonts w:ascii="Arial" w:hAnsi="Arial" w:cs="Arial"/>
        </w:rPr>
        <w:tab/>
        <w:t xml:space="preserve">2014-15 </w:t>
      </w:r>
      <w:r>
        <w:rPr>
          <w:rFonts w:ascii="Arial" w:hAnsi="Arial" w:cs="Arial"/>
        </w:rPr>
        <w:tab/>
      </w:r>
      <w:r w:rsidRPr="00BB1282">
        <w:rPr>
          <w:rFonts w:ascii="Arial" w:hAnsi="Arial" w:cs="Arial"/>
        </w:rPr>
        <w:t>64</w:t>
      </w:r>
    </w:p>
    <w:p w:rsidR="00E54D3D" w:rsidRPr="00BB1282" w:rsidRDefault="00E54D3D" w:rsidP="00E54D3D">
      <w:pPr>
        <w:rPr>
          <w:rFonts w:ascii="Arial" w:hAnsi="Arial" w:cs="Arial"/>
        </w:rPr>
      </w:pPr>
      <w:r>
        <w:rPr>
          <w:rFonts w:ascii="Arial" w:hAnsi="Arial" w:cs="Arial"/>
        </w:rPr>
        <w:t>(1)(a)(</w:t>
      </w:r>
      <w:proofErr w:type="spellStart"/>
      <w:proofErr w:type="gramStart"/>
      <w:r>
        <w:rPr>
          <w:rFonts w:ascii="Arial" w:hAnsi="Arial" w:cs="Arial"/>
        </w:rPr>
        <w:t>i</w:t>
      </w:r>
      <w:proofErr w:type="spellEnd"/>
      <w:proofErr w:type="gramEnd"/>
      <w:r>
        <w:rPr>
          <w:rFonts w:ascii="Arial" w:hAnsi="Arial" w:cs="Arial"/>
        </w:rPr>
        <w:t>)</w:t>
      </w:r>
      <w:r w:rsidRPr="00BB1282">
        <w:rPr>
          <w:rFonts w:ascii="Arial" w:hAnsi="Arial" w:cs="Arial"/>
        </w:rPr>
        <w:t>(</w:t>
      </w:r>
      <w:proofErr w:type="spellStart"/>
      <w:proofErr w:type="gramStart"/>
      <w:r w:rsidRPr="00BB1282">
        <w:rPr>
          <w:rFonts w:ascii="Arial" w:hAnsi="Arial" w:cs="Arial"/>
        </w:rPr>
        <w:t>gg</w:t>
      </w:r>
      <w:proofErr w:type="spellEnd"/>
      <w:proofErr w:type="gramEnd"/>
      <w:r w:rsidRPr="00BB1282">
        <w:rPr>
          <w:rFonts w:ascii="Arial" w:hAnsi="Arial" w:cs="Arial"/>
        </w:rPr>
        <w:t xml:space="preserve">) </w:t>
      </w:r>
      <w:r>
        <w:rPr>
          <w:rFonts w:ascii="Arial" w:hAnsi="Arial" w:cs="Arial"/>
        </w:rPr>
        <w:tab/>
      </w:r>
      <w:r>
        <w:rPr>
          <w:rFonts w:ascii="Arial" w:hAnsi="Arial" w:cs="Arial"/>
        </w:rPr>
        <w:tab/>
        <w:t xml:space="preserve">2015-16 </w:t>
      </w:r>
      <w:r>
        <w:rPr>
          <w:rFonts w:ascii="Arial" w:hAnsi="Arial" w:cs="Arial"/>
        </w:rPr>
        <w:tab/>
      </w:r>
      <w:r w:rsidRPr="00BB1282">
        <w:rPr>
          <w:rFonts w:ascii="Arial" w:hAnsi="Arial" w:cs="Arial"/>
        </w:rPr>
        <w:t>67</w:t>
      </w:r>
    </w:p>
    <w:p w:rsidR="00E54D3D" w:rsidRDefault="00E54D3D" w:rsidP="00E54D3D">
      <w:pPr>
        <w:rPr>
          <w:rFonts w:ascii="Arial" w:hAnsi="Arial" w:cs="Arial"/>
        </w:rPr>
      </w:pPr>
    </w:p>
    <w:p w:rsidR="00E54D3D" w:rsidRPr="00BB1282" w:rsidRDefault="00E54D3D" w:rsidP="00E54D3D">
      <w:pPr>
        <w:rPr>
          <w:rFonts w:ascii="Arial" w:hAnsi="Arial" w:cs="Arial"/>
        </w:rPr>
      </w:pPr>
      <w:r>
        <w:rPr>
          <w:rFonts w:ascii="Arial" w:hAnsi="Arial" w:cs="Arial"/>
        </w:rPr>
        <w:t>(1)(a)</w:t>
      </w:r>
      <w:r w:rsidRPr="00BB1282">
        <w:rPr>
          <w:rFonts w:ascii="Arial" w:hAnsi="Arial" w:cs="Arial"/>
        </w:rPr>
        <w:t xml:space="preserve">(ii) </w:t>
      </w:r>
      <w:r>
        <w:rPr>
          <w:rFonts w:ascii="Arial" w:hAnsi="Arial" w:cs="Arial"/>
        </w:rPr>
        <w:tab/>
      </w:r>
      <w:r>
        <w:rPr>
          <w:rFonts w:ascii="Arial" w:hAnsi="Arial" w:cs="Arial"/>
        </w:rPr>
        <w:tab/>
      </w:r>
      <w:r w:rsidRPr="00BB1282">
        <w:rPr>
          <w:rFonts w:ascii="Arial" w:hAnsi="Arial" w:cs="Arial"/>
        </w:rPr>
        <w:t xml:space="preserve">April 2016 </w:t>
      </w:r>
      <w:r w:rsidRPr="00BB1282">
        <w:rPr>
          <w:rFonts w:ascii="Arial" w:hAnsi="Arial" w:cs="Arial"/>
        </w:rPr>
        <w:tab/>
        <w:t>68</w:t>
      </w:r>
    </w:p>
    <w:p w:rsidR="00E54D3D" w:rsidRDefault="00E54D3D" w:rsidP="00E54D3D">
      <w:pPr>
        <w:rPr>
          <w:rFonts w:ascii="Arial" w:hAnsi="Arial" w:cs="Arial"/>
        </w:rPr>
      </w:pPr>
    </w:p>
    <w:p w:rsidR="00E54D3D" w:rsidRPr="00BB1282" w:rsidRDefault="00E54D3D" w:rsidP="00E54D3D">
      <w:pPr>
        <w:rPr>
          <w:rFonts w:ascii="Arial" w:hAnsi="Arial" w:cs="Arial"/>
        </w:rPr>
      </w:pPr>
      <w:r>
        <w:rPr>
          <w:rFonts w:ascii="Arial" w:hAnsi="Arial" w:cs="Arial"/>
        </w:rPr>
        <w:t>(1)</w:t>
      </w:r>
      <w:r w:rsidRPr="00BB1282">
        <w:rPr>
          <w:rFonts w:ascii="Arial" w:hAnsi="Arial" w:cs="Arial"/>
        </w:rPr>
        <w:t xml:space="preserve">(b) </w:t>
      </w:r>
      <w:proofErr w:type="gramStart"/>
      <w:r w:rsidRPr="00BB1282">
        <w:rPr>
          <w:rFonts w:ascii="Arial" w:hAnsi="Arial" w:cs="Arial"/>
        </w:rPr>
        <w:t>how</w:t>
      </w:r>
      <w:proofErr w:type="gramEnd"/>
      <w:r w:rsidRPr="00BB1282">
        <w:rPr>
          <w:rFonts w:ascii="Arial" w:hAnsi="Arial" w:cs="Arial"/>
        </w:rPr>
        <w:t xml:space="preserve"> many investigations did it initiate in each of the specified financial years;</w:t>
      </w:r>
    </w:p>
    <w:p w:rsidR="00E54D3D" w:rsidRDefault="00E54D3D" w:rsidP="00E54D3D">
      <w:pPr>
        <w:ind w:firstLine="720"/>
        <w:rPr>
          <w:rFonts w:ascii="Arial" w:hAnsi="Arial" w:cs="Arial"/>
        </w:rPr>
      </w:pPr>
      <w:r w:rsidRPr="00BB1282">
        <w:rPr>
          <w:rFonts w:ascii="Arial" w:hAnsi="Arial" w:cs="Arial"/>
        </w:rPr>
        <w:t>2009-10</w:t>
      </w:r>
      <w:r w:rsidRPr="00BB1282">
        <w:rPr>
          <w:rFonts w:ascii="Arial" w:hAnsi="Arial" w:cs="Arial"/>
        </w:rPr>
        <w:tab/>
        <w:t>43</w:t>
      </w:r>
    </w:p>
    <w:p w:rsidR="00E54D3D" w:rsidRPr="00BB1282" w:rsidRDefault="00E54D3D" w:rsidP="00E54D3D">
      <w:pPr>
        <w:ind w:firstLine="720"/>
        <w:rPr>
          <w:rFonts w:ascii="Arial" w:hAnsi="Arial" w:cs="Arial"/>
        </w:rPr>
      </w:pPr>
      <w:r w:rsidRPr="00BB1282">
        <w:rPr>
          <w:rFonts w:ascii="Arial" w:hAnsi="Arial" w:cs="Arial"/>
        </w:rPr>
        <w:t>2010-11</w:t>
      </w:r>
      <w:r w:rsidRPr="00BB1282">
        <w:rPr>
          <w:rFonts w:ascii="Arial" w:hAnsi="Arial" w:cs="Arial"/>
        </w:rPr>
        <w:tab/>
        <w:t>118</w:t>
      </w:r>
    </w:p>
    <w:p w:rsidR="00E54D3D" w:rsidRPr="00BB1282" w:rsidRDefault="00E54D3D" w:rsidP="00E54D3D">
      <w:pPr>
        <w:numPr>
          <w:ilvl w:val="1"/>
          <w:numId w:val="13"/>
        </w:numPr>
        <w:spacing w:after="160" w:line="259" w:lineRule="auto"/>
        <w:ind w:left="1418" w:hanging="709"/>
        <w:rPr>
          <w:rFonts w:ascii="Arial" w:hAnsi="Arial" w:cs="Arial"/>
        </w:rPr>
      </w:pPr>
      <w:r>
        <w:rPr>
          <w:rFonts w:ascii="Arial" w:hAnsi="Arial" w:cs="Arial"/>
        </w:rPr>
        <w:t> </w:t>
      </w:r>
      <w:r w:rsidRPr="00BB1282">
        <w:rPr>
          <w:rFonts w:ascii="Arial" w:hAnsi="Arial" w:cs="Arial"/>
        </w:rPr>
        <w:t>161</w:t>
      </w:r>
    </w:p>
    <w:p w:rsidR="00E54D3D" w:rsidRPr="00BB1282" w:rsidRDefault="00E54D3D" w:rsidP="00E54D3D">
      <w:pPr>
        <w:ind w:firstLine="709"/>
        <w:rPr>
          <w:rFonts w:ascii="Arial" w:hAnsi="Arial" w:cs="Arial"/>
        </w:rPr>
      </w:pPr>
      <w:r w:rsidRPr="00BB1282">
        <w:rPr>
          <w:rFonts w:ascii="Arial" w:hAnsi="Arial" w:cs="Arial"/>
        </w:rPr>
        <w:lastRenderedPageBreak/>
        <w:t>2012-13</w:t>
      </w:r>
      <w:r w:rsidRPr="00BB1282">
        <w:rPr>
          <w:rFonts w:ascii="Arial" w:hAnsi="Arial" w:cs="Arial"/>
        </w:rPr>
        <w:tab/>
        <w:t>128</w:t>
      </w:r>
    </w:p>
    <w:p w:rsidR="00E54D3D" w:rsidRPr="00BB1282" w:rsidRDefault="00E54D3D" w:rsidP="00E54D3D">
      <w:pPr>
        <w:ind w:firstLine="709"/>
        <w:rPr>
          <w:rFonts w:ascii="Arial" w:hAnsi="Arial" w:cs="Arial"/>
        </w:rPr>
      </w:pPr>
      <w:r w:rsidRPr="00BB1282">
        <w:rPr>
          <w:rFonts w:ascii="Arial" w:hAnsi="Arial" w:cs="Arial"/>
        </w:rPr>
        <w:t>2013-14</w:t>
      </w:r>
      <w:r w:rsidRPr="00BB1282">
        <w:rPr>
          <w:rFonts w:ascii="Arial" w:hAnsi="Arial" w:cs="Arial"/>
        </w:rPr>
        <w:tab/>
        <w:t>175</w:t>
      </w:r>
    </w:p>
    <w:p w:rsidR="00E54D3D" w:rsidRPr="00BB1282" w:rsidRDefault="00E54D3D" w:rsidP="00E54D3D">
      <w:pPr>
        <w:ind w:firstLine="709"/>
        <w:rPr>
          <w:rFonts w:ascii="Arial" w:hAnsi="Arial" w:cs="Arial"/>
        </w:rPr>
      </w:pPr>
      <w:r w:rsidRPr="00BB1282">
        <w:rPr>
          <w:rFonts w:ascii="Arial" w:hAnsi="Arial" w:cs="Arial"/>
        </w:rPr>
        <w:t xml:space="preserve">2014-15 </w:t>
      </w:r>
      <w:r w:rsidRPr="00BB1282">
        <w:rPr>
          <w:rFonts w:ascii="Arial" w:hAnsi="Arial" w:cs="Arial"/>
        </w:rPr>
        <w:tab/>
        <w:t>172</w:t>
      </w:r>
    </w:p>
    <w:p w:rsidR="00E54D3D" w:rsidRPr="00BB1282" w:rsidRDefault="00E54D3D" w:rsidP="00E54D3D">
      <w:pPr>
        <w:ind w:firstLine="709"/>
        <w:rPr>
          <w:rFonts w:ascii="Arial" w:hAnsi="Arial" w:cs="Arial"/>
        </w:rPr>
      </w:pPr>
      <w:r w:rsidRPr="00BB1282">
        <w:rPr>
          <w:rFonts w:ascii="Arial" w:hAnsi="Arial" w:cs="Arial"/>
        </w:rPr>
        <w:t xml:space="preserve">2015-16 </w:t>
      </w:r>
      <w:r w:rsidRPr="00BB1282">
        <w:rPr>
          <w:rFonts w:ascii="Arial" w:hAnsi="Arial" w:cs="Arial"/>
        </w:rPr>
        <w:tab/>
        <w:t>227</w:t>
      </w:r>
    </w:p>
    <w:p w:rsidR="00E54D3D" w:rsidRPr="00BB1282" w:rsidRDefault="00E54D3D" w:rsidP="00E54D3D">
      <w:pPr>
        <w:rPr>
          <w:rFonts w:ascii="Arial" w:hAnsi="Arial" w:cs="Arial"/>
        </w:rPr>
      </w:pPr>
      <w:r w:rsidRPr="00BB1282">
        <w:rPr>
          <w:rFonts w:ascii="Arial" w:hAnsi="Arial" w:cs="Arial"/>
        </w:rPr>
        <w:t xml:space="preserve">(ii) </w:t>
      </w:r>
      <w:r>
        <w:rPr>
          <w:rFonts w:ascii="Arial" w:hAnsi="Arial" w:cs="Arial"/>
        </w:rPr>
        <w:tab/>
      </w:r>
      <w:r w:rsidRPr="00BB1282">
        <w:rPr>
          <w:rFonts w:ascii="Arial" w:hAnsi="Arial" w:cs="Arial"/>
        </w:rPr>
        <w:t xml:space="preserve">April 2016 </w:t>
      </w:r>
      <w:r w:rsidRPr="00BB1282">
        <w:rPr>
          <w:rFonts w:ascii="Arial" w:hAnsi="Arial" w:cs="Arial"/>
        </w:rPr>
        <w:tab/>
        <w:t>27</w:t>
      </w:r>
    </w:p>
    <w:p w:rsidR="00E54D3D" w:rsidRPr="00BB1282" w:rsidRDefault="00E54D3D" w:rsidP="00E54D3D">
      <w:pPr>
        <w:ind w:left="720"/>
        <w:rPr>
          <w:rFonts w:ascii="Arial" w:hAnsi="Arial" w:cs="Arial"/>
        </w:rPr>
      </w:pPr>
    </w:p>
    <w:p w:rsidR="00E54D3D" w:rsidRPr="00280D5C" w:rsidRDefault="00E54D3D" w:rsidP="00E54D3D">
      <w:pPr>
        <w:spacing w:after="240" w:line="360" w:lineRule="auto"/>
        <w:jc w:val="both"/>
        <w:rPr>
          <w:rFonts w:ascii="Arial" w:hAnsi="Arial" w:cs="Arial"/>
        </w:rPr>
      </w:pPr>
      <w:r>
        <w:rPr>
          <w:rFonts w:ascii="Arial" w:hAnsi="Arial" w:cs="Arial"/>
        </w:rPr>
        <w:t>(2)</w:t>
      </w:r>
      <w:r>
        <w:rPr>
          <w:rFonts w:ascii="Arial" w:hAnsi="Arial" w:cs="Arial"/>
        </w:rPr>
        <w:tab/>
      </w:r>
      <w:r w:rsidRPr="00280D5C">
        <w:rPr>
          <w:rFonts w:ascii="Arial" w:hAnsi="Arial" w:cs="Arial"/>
        </w:rPr>
        <w:t>Herewith the citation from the Act:</w:t>
      </w:r>
    </w:p>
    <w:p w:rsidR="00E54D3D" w:rsidRPr="00280D5C" w:rsidRDefault="00E54D3D" w:rsidP="00E54D3D">
      <w:pPr>
        <w:pStyle w:val="amd-section"/>
        <w:spacing w:before="180"/>
        <w:ind w:left="283" w:firstLine="426"/>
        <w:jc w:val="both"/>
        <w:rPr>
          <w:color w:val="000000"/>
        </w:rPr>
      </w:pPr>
      <w:r w:rsidRPr="00280D5C">
        <w:rPr>
          <w:b/>
          <w:bCs/>
          <w:color w:val="000000"/>
          <w:u w:val="single"/>
        </w:rPr>
        <w:t xml:space="preserve">17D. Functions of Directorate. </w:t>
      </w:r>
    </w:p>
    <w:p w:rsidR="00E54D3D" w:rsidRPr="00280D5C" w:rsidRDefault="00E54D3D" w:rsidP="00E54D3D">
      <w:pPr>
        <w:pStyle w:val="amd-section"/>
        <w:spacing w:before="180"/>
        <w:ind w:left="283" w:firstLine="567"/>
        <w:jc w:val="both"/>
        <w:rPr>
          <w:color w:val="000000"/>
        </w:rPr>
      </w:pPr>
      <w:r w:rsidRPr="00280D5C">
        <w:rPr>
          <w:color w:val="000000"/>
        </w:rPr>
        <w:t>(1) The functions of the Directorate are to prevent, combat and investigate—</w:t>
      </w:r>
    </w:p>
    <w:p w:rsidR="00E54D3D" w:rsidRPr="00280D5C" w:rsidRDefault="00E54D3D" w:rsidP="00E54D3D">
      <w:pPr>
        <w:pStyle w:val="amd-para"/>
        <w:spacing w:before="180"/>
        <w:ind w:left="1531" w:hanging="680"/>
        <w:jc w:val="both"/>
        <w:rPr>
          <w:color w:val="000000"/>
        </w:rPr>
      </w:pPr>
      <w:r w:rsidRPr="00280D5C">
        <w:rPr>
          <w:color w:val="000000"/>
        </w:rPr>
        <w:t>(</w:t>
      </w:r>
      <w:r w:rsidRPr="00280D5C">
        <w:rPr>
          <w:iCs/>
          <w:color w:val="000000"/>
        </w:rPr>
        <w:t>a</w:t>
      </w:r>
      <w:r w:rsidRPr="00280D5C">
        <w:rPr>
          <w:color w:val="000000"/>
        </w:rPr>
        <w:t>)   National priority offences, which in the opinion of the Head of the Directorate need to be addressed by the Directorate, subject to any policy guidelines issued by the Ministerial Committee; and</w:t>
      </w:r>
    </w:p>
    <w:p w:rsidR="00E54D3D" w:rsidRPr="00280D5C" w:rsidRDefault="00E54D3D" w:rsidP="00E54D3D">
      <w:pPr>
        <w:pStyle w:val="amd-para"/>
        <w:spacing w:before="180"/>
        <w:ind w:left="1531" w:hanging="680"/>
        <w:jc w:val="both"/>
        <w:rPr>
          <w:color w:val="000000"/>
        </w:rPr>
      </w:pPr>
      <w:r w:rsidRPr="00280D5C">
        <w:rPr>
          <w:color w:val="000000"/>
        </w:rPr>
        <w:t>(</w:t>
      </w:r>
      <w:r w:rsidRPr="00280D5C">
        <w:rPr>
          <w:iCs/>
          <w:color w:val="000000"/>
        </w:rPr>
        <w:t>b</w:t>
      </w:r>
      <w:r w:rsidRPr="00280D5C">
        <w:rPr>
          <w:color w:val="000000"/>
        </w:rPr>
        <w:t xml:space="preserve">)     </w:t>
      </w:r>
      <w:proofErr w:type="gramStart"/>
      <w:r w:rsidRPr="00280D5C">
        <w:rPr>
          <w:color w:val="000000"/>
        </w:rPr>
        <w:t>any</w:t>
      </w:r>
      <w:proofErr w:type="gramEnd"/>
      <w:r w:rsidRPr="00280D5C">
        <w:rPr>
          <w:color w:val="000000"/>
        </w:rPr>
        <w:t xml:space="preserve"> other offence or category of offences referred to it from time to time by the National Commissioner, subject to any policy guidelines issued by the Ministerial Committee</w:t>
      </w:r>
    </w:p>
    <w:p w:rsidR="00E54D3D" w:rsidRPr="00280D5C" w:rsidRDefault="00E54D3D" w:rsidP="00E54D3D">
      <w:pPr>
        <w:pStyle w:val="amd-para"/>
        <w:spacing w:before="180"/>
        <w:ind w:left="1531" w:hanging="680"/>
        <w:jc w:val="both"/>
        <w:rPr>
          <w:color w:val="000000"/>
        </w:rPr>
      </w:pPr>
      <w:r w:rsidRPr="00280D5C">
        <w:rPr>
          <w:color w:val="000000"/>
        </w:rPr>
        <w:t xml:space="preserve">(2)     </w:t>
      </w:r>
      <w:r w:rsidRPr="00280D5C">
        <w:rPr>
          <w:color w:val="000000"/>
          <w:u w:val="single"/>
        </w:rPr>
        <w:t>If, during the course of an investigation by the Directorate, evidence of     any other crime is detected and the National Head (DPCI) considers it in the interests of justice, or in the public interest, he or she may extend the investigation so as to include any offence which he or she suspects to be connected with the subject of the investigation</w:t>
      </w:r>
      <w:r w:rsidRPr="00280D5C">
        <w:rPr>
          <w:color w:val="000000"/>
        </w:rPr>
        <w:t>.</w:t>
      </w:r>
    </w:p>
    <w:p w:rsidR="00E54D3D" w:rsidRPr="00280D5C" w:rsidRDefault="00E54D3D" w:rsidP="00E54D3D">
      <w:pPr>
        <w:pStyle w:val="amd-para"/>
        <w:spacing w:before="180"/>
        <w:ind w:left="1531" w:hanging="680"/>
        <w:jc w:val="both"/>
        <w:rPr>
          <w:color w:val="000000"/>
        </w:rPr>
      </w:pPr>
      <w:r w:rsidRPr="00280D5C">
        <w:rPr>
          <w:color w:val="000000"/>
        </w:rPr>
        <w:t>(3)     The National Head of the Directorate may, if he or she has reason to suspect that a national priority offence has been or is being committed, request the National Director of Public Prosecutions to designate a Director of Public Prosecutions to exercise the powers of section 28 of the National Prosecuting Authority Act, 1998 (Act No. 32 of 1998).</w:t>
      </w:r>
    </w:p>
    <w:p w:rsidR="00E54D3D" w:rsidRPr="00280D5C" w:rsidRDefault="00E54D3D" w:rsidP="00E54D3D">
      <w:pPr>
        <w:pStyle w:val="general-default"/>
        <w:spacing w:before="180"/>
        <w:jc w:val="both"/>
        <w:rPr>
          <w:color w:val="000000"/>
        </w:rPr>
      </w:pPr>
      <w:r>
        <w:rPr>
          <w:color w:val="000000"/>
        </w:rPr>
        <w:tab/>
      </w:r>
      <w:r>
        <w:rPr>
          <w:color w:val="000000"/>
        </w:rPr>
        <w:tab/>
      </w:r>
    </w:p>
    <w:p w:rsidR="00E54D3D" w:rsidRPr="00280D5C" w:rsidRDefault="00E54D3D" w:rsidP="00E54D3D">
      <w:pPr>
        <w:spacing w:after="240" w:line="360" w:lineRule="auto"/>
        <w:ind w:left="720" w:firstLine="131"/>
        <w:jc w:val="both"/>
        <w:rPr>
          <w:rFonts w:ascii="Arial" w:hAnsi="Arial" w:cs="Arial"/>
          <w:b/>
        </w:rPr>
      </w:pPr>
      <w:r w:rsidRPr="00280D5C">
        <w:rPr>
          <w:rFonts w:ascii="Arial" w:hAnsi="Arial" w:cs="Arial"/>
          <w:b/>
        </w:rPr>
        <w:t>National Priority Offence includes but not limited to:</w:t>
      </w:r>
    </w:p>
    <w:p w:rsidR="00E54D3D" w:rsidRPr="00280D5C" w:rsidRDefault="00E54D3D" w:rsidP="00E54D3D">
      <w:pPr>
        <w:pStyle w:val="general-default"/>
        <w:numPr>
          <w:ilvl w:val="0"/>
          <w:numId w:val="12"/>
        </w:numPr>
        <w:spacing w:before="180"/>
        <w:jc w:val="both"/>
        <w:rPr>
          <w:color w:val="000000"/>
        </w:rPr>
      </w:pPr>
      <w:r w:rsidRPr="00280D5C">
        <w:rPr>
          <w:b/>
          <w:bCs/>
          <w:color w:val="000000"/>
        </w:rPr>
        <w:t>"Schedule (Section 16(2)</w:t>
      </w:r>
      <w:r w:rsidRPr="00280D5C">
        <w:rPr>
          <w:b/>
          <w:bCs/>
          <w:iCs/>
          <w:color w:val="000000"/>
        </w:rPr>
        <w:t>(</w:t>
      </w:r>
      <w:proofErr w:type="spellStart"/>
      <w:r w:rsidRPr="00280D5C">
        <w:rPr>
          <w:b/>
          <w:bCs/>
          <w:iCs/>
          <w:color w:val="000000"/>
        </w:rPr>
        <w:t>iA</w:t>
      </w:r>
      <w:proofErr w:type="spellEnd"/>
      <w:r w:rsidRPr="00280D5C">
        <w:rPr>
          <w:b/>
          <w:bCs/>
          <w:iCs/>
          <w:color w:val="000000"/>
        </w:rPr>
        <w:t>)</w:t>
      </w:r>
      <w:r w:rsidRPr="00280D5C">
        <w:rPr>
          <w:b/>
          <w:bCs/>
          <w:color w:val="000000"/>
        </w:rPr>
        <w:t xml:space="preserve">) </w:t>
      </w:r>
    </w:p>
    <w:p w:rsidR="00E54D3D" w:rsidRPr="00280D5C" w:rsidRDefault="00E54D3D" w:rsidP="00E54D3D">
      <w:pPr>
        <w:pStyle w:val="general-default"/>
        <w:numPr>
          <w:ilvl w:val="0"/>
          <w:numId w:val="12"/>
        </w:numPr>
        <w:spacing w:before="180"/>
        <w:jc w:val="both"/>
        <w:rPr>
          <w:color w:val="000000"/>
        </w:rPr>
      </w:pPr>
      <w:r w:rsidRPr="00280D5C">
        <w:rPr>
          <w:color w:val="000000"/>
        </w:rPr>
        <w:t>High treason;</w:t>
      </w:r>
    </w:p>
    <w:p w:rsidR="00E54D3D" w:rsidRPr="00280D5C" w:rsidRDefault="00E54D3D" w:rsidP="00E54D3D">
      <w:pPr>
        <w:pStyle w:val="general-default"/>
        <w:numPr>
          <w:ilvl w:val="0"/>
          <w:numId w:val="12"/>
        </w:numPr>
        <w:spacing w:before="180"/>
        <w:jc w:val="both"/>
        <w:rPr>
          <w:color w:val="000000"/>
        </w:rPr>
      </w:pPr>
      <w:r w:rsidRPr="00280D5C">
        <w:rPr>
          <w:color w:val="000000"/>
        </w:rPr>
        <w:t xml:space="preserve">any offence referred to in paragraph </w:t>
      </w:r>
      <w:r w:rsidRPr="00280D5C">
        <w:rPr>
          <w:iCs/>
          <w:color w:val="000000"/>
        </w:rPr>
        <w:t xml:space="preserve">(a) </w:t>
      </w:r>
      <w:r w:rsidRPr="00280D5C">
        <w:rPr>
          <w:color w:val="000000"/>
        </w:rPr>
        <w:t>of the definition of 'specified offence' of the Protection of Constitutional Democracy against Terrorist and Related Activities Act, 2004 (Act No. 33 of 2004);</w:t>
      </w:r>
    </w:p>
    <w:p w:rsidR="00E54D3D" w:rsidRPr="00280D5C" w:rsidRDefault="00E54D3D" w:rsidP="00E54D3D">
      <w:pPr>
        <w:pStyle w:val="general-default"/>
        <w:numPr>
          <w:ilvl w:val="0"/>
          <w:numId w:val="12"/>
        </w:numPr>
        <w:spacing w:before="180"/>
        <w:jc w:val="both"/>
        <w:rPr>
          <w:color w:val="000000"/>
        </w:rPr>
      </w:pPr>
      <w:r w:rsidRPr="00280D5C">
        <w:rPr>
          <w:color w:val="000000"/>
        </w:rPr>
        <w:t>sedition;</w:t>
      </w:r>
    </w:p>
    <w:p w:rsidR="00E54D3D" w:rsidRPr="00280D5C" w:rsidRDefault="00E54D3D" w:rsidP="00E54D3D">
      <w:pPr>
        <w:pStyle w:val="general-default"/>
        <w:numPr>
          <w:ilvl w:val="0"/>
          <w:numId w:val="12"/>
        </w:numPr>
        <w:spacing w:before="180"/>
        <w:jc w:val="both"/>
        <w:rPr>
          <w:color w:val="000000"/>
        </w:rPr>
      </w:pPr>
      <w:r w:rsidRPr="00280D5C">
        <w:rPr>
          <w:color w:val="000000"/>
        </w:rPr>
        <w:t>any offence referred to in Schedule 1 to the Implementation of the Rome Statute of the International Criminal Court Act, 2002 (Act No. 27 of 2002);</w:t>
      </w:r>
    </w:p>
    <w:p w:rsidR="00E54D3D" w:rsidRPr="00280D5C" w:rsidRDefault="00E54D3D" w:rsidP="00E54D3D">
      <w:pPr>
        <w:pStyle w:val="general-default"/>
        <w:numPr>
          <w:ilvl w:val="0"/>
          <w:numId w:val="12"/>
        </w:numPr>
        <w:spacing w:before="180"/>
        <w:jc w:val="both"/>
        <w:rPr>
          <w:color w:val="000000"/>
        </w:rPr>
      </w:pPr>
      <w:r w:rsidRPr="00280D5C">
        <w:rPr>
          <w:color w:val="000000"/>
        </w:rPr>
        <w:t>any offence referred to in Chapters 2, 3 and 4 of the Prevention of Organised Crime Act, 1998 (Act No. 121 of 1998);</w:t>
      </w:r>
    </w:p>
    <w:p w:rsidR="00E54D3D" w:rsidRPr="00280D5C" w:rsidRDefault="00E54D3D" w:rsidP="00E54D3D">
      <w:pPr>
        <w:pStyle w:val="general-default"/>
        <w:numPr>
          <w:ilvl w:val="0"/>
          <w:numId w:val="12"/>
        </w:numPr>
        <w:spacing w:before="180"/>
        <w:jc w:val="both"/>
        <w:rPr>
          <w:color w:val="000000"/>
        </w:rPr>
      </w:pPr>
      <w:r w:rsidRPr="00280D5C">
        <w:rPr>
          <w:color w:val="000000"/>
        </w:rPr>
        <w:t>any offence referred to in section 13</w:t>
      </w:r>
      <w:r w:rsidRPr="00280D5C">
        <w:rPr>
          <w:iCs/>
          <w:color w:val="000000"/>
        </w:rPr>
        <w:t xml:space="preserve">(f) </w:t>
      </w:r>
      <w:r w:rsidRPr="00280D5C">
        <w:rPr>
          <w:color w:val="000000"/>
        </w:rPr>
        <w:t>of the Drugs and Drug Trafficking Act, 1992 (Act No. 140 of 1992);</w:t>
      </w:r>
    </w:p>
    <w:p w:rsidR="00E54D3D" w:rsidRPr="00280D5C" w:rsidRDefault="00E54D3D" w:rsidP="00E54D3D">
      <w:pPr>
        <w:pStyle w:val="general-default"/>
        <w:numPr>
          <w:ilvl w:val="0"/>
          <w:numId w:val="12"/>
        </w:numPr>
        <w:spacing w:before="180"/>
        <w:jc w:val="both"/>
        <w:rPr>
          <w:color w:val="000000"/>
        </w:rPr>
      </w:pPr>
      <w:r w:rsidRPr="00280D5C">
        <w:rPr>
          <w:color w:val="000000"/>
        </w:rPr>
        <w:lastRenderedPageBreak/>
        <w:t>any offence referred to in the Non-Proliferation of Weapons of Mass Destruction Act, 1993 (Act No. 87 of 1993);</w:t>
      </w:r>
    </w:p>
    <w:p w:rsidR="00E54D3D" w:rsidRPr="00280D5C" w:rsidRDefault="00E54D3D" w:rsidP="00E54D3D">
      <w:pPr>
        <w:pStyle w:val="general-default"/>
        <w:numPr>
          <w:ilvl w:val="0"/>
          <w:numId w:val="12"/>
        </w:numPr>
        <w:spacing w:before="180"/>
        <w:jc w:val="both"/>
        <w:rPr>
          <w:color w:val="000000"/>
        </w:rPr>
      </w:pPr>
      <w:r w:rsidRPr="00280D5C">
        <w:rPr>
          <w:color w:val="000000"/>
        </w:rPr>
        <w:t>any offence relating to the dealing in or smuggling of ammunition, firearms, explosives or armament and the unlawful possession of such firearms, explosives or armament;</w:t>
      </w:r>
    </w:p>
    <w:p w:rsidR="00E54D3D" w:rsidRPr="00280D5C" w:rsidRDefault="00E54D3D" w:rsidP="00E54D3D">
      <w:pPr>
        <w:pStyle w:val="general-default"/>
        <w:numPr>
          <w:ilvl w:val="0"/>
          <w:numId w:val="12"/>
        </w:numPr>
        <w:spacing w:before="180"/>
        <w:jc w:val="both"/>
        <w:rPr>
          <w:color w:val="000000"/>
        </w:rPr>
      </w:pPr>
      <w:r w:rsidRPr="00280D5C">
        <w:rPr>
          <w:color w:val="000000"/>
        </w:rPr>
        <w:t>any offence contemplated in Chapter 2 and section 34 of the Prevention and Combating of Corrupt Activities Act, 2004 (Act No. 12 of 2004);</w:t>
      </w:r>
    </w:p>
    <w:p w:rsidR="00E54D3D" w:rsidRPr="00280D5C" w:rsidRDefault="00E54D3D" w:rsidP="00E54D3D">
      <w:pPr>
        <w:pStyle w:val="general-default"/>
        <w:numPr>
          <w:ilvl w:val="0"/>
          <w:numId w:val="12"/>
        </w:numPr>
        <w:spacing w:before="180"/>
        <w:jc w:val="both"/>
        <w:rPr>
          <w:color w:val="000000"/>
        </w:rPr>
      </w:pPr>
      <w:r w:rsidRPr="00280D5C">
        <w:rPr>
          <w:color w:val="000000"/>
        </w:rPr>
        <w:t>any offence referred to in the Regulation of Foreign Military Assistance Act, 1998 (Act No. 15 of 1998), or the Prohibition of Mercenary Activities and the Regulation of Certain Activities in Country of Armed Conflict Act, 2006 (Act No. 27 of 2006);</w:t>
      </w:r>
    </w:p>
    <w:p w:rsidR="00E54D3D" w:rsidRPr="00280D5C" w:rsidRDefault="00E54D3D" w:rsidP="00E54D3D">
      <w:pPr>
        <w:pStyle w:val="general-default"/>
        <w:numPr>
          <w:ilvl w:val="0"/>
          <w:numId w:val="12"/>
        </w:numPr>
        <w:spacing w:before="180"/>
        <w:jc w:val="both"/>
        <w:rPr>
          <w:color w:val="000000"/>
        </w:rPr>
      </w:pPr>
      <w:r w:rsidRPr="00280D5C">
        <w:rPr>
          <w:color w:val="000000"/>
        </w:rPr>
        <w:t>any offence referred to in the National Conventional Arms Control Act, 2002 (Act No. 41 of 2002);</w:t>
      </w:r>
    </w:p>
    <w:p w:rsidR="00E54D3D" w:rsidRPr="00280D5C" w:rsidRDefault="00E54D3D" w:rsidP="00E54D3D">
      <w:pPr>
        <w:pStyle w:val="ListParagraph"/>
        <w:ind w:left="1440"/>
        <w:jc w:val="both"/>
        <w:rPr>
          <w:rFonts w:ascii="Arial" w:hAnsi="Arial" w:cs="Arial"/>
        </w:rPr>
      </w:pPr>
    </w:p>
    <w:p w:rsidR="00E54D3D" w:rsidRPr="00280D5C" w:rsidRDefault="00E54D3D" w:rsidP="00E54D3D">
      <w:pPr>
        <w:pStyle w:val="ListParagraph"/>
        <w:numPr>
          <w:ilvl w:val="0"/>
          <w:numId w:val="12"/>
        </w:numPr>
        <w:spacing w:after="200" w:line="276" w:lineRule="auto"/>
        <w:jc w:val="both"/>
        <w:rPr>
          <w:rFonts w:ascii="Arial" w:hAnsi="Arial" w:cs="Arial"/>
        </w:rPr>
      </w:pPr>
      <w:proofErr w:type="gramStart"/>
      <w:r w:rsidRPr="00280D5C">
        <w:rPr>
          <w:rFonts w:ascii="Arial" w:hAnsi="Arial" w:cs="Arial"/>
          <w:color w:val="000000"/>
        </w:rPr>
        <w:t>any</w:t>
      </w:r>
      <w:proofErr w:type="gramEnd"/>
      <w:r w:rsidRPr="00280D5C">
        <w:rPr>
          <w:rFonts w:ascii="Arial" w:hAnsi="Arial" w:cs="Arial"/>
          <w:color w:val="000000"/>
        </w:rPr>
        <w:t xml:space="preserve"> offence the punishment wherefore may be imprisonment for life."</w:t>
      </w:r>
    </w:p>
    <w:p w:rsidR="00E54D3D" w:rsidRPr="00280D5C" w:rsidRDefault="00E54D3D" w:rsidP="00E54D3D">
      <w:pPr>
        <w:pStyle w:val="ListParagraph"/>
        <w:rPr>
          <w:rFonts w:ascii="Arial" w:hAnsi="Arial" w:cs="Arial"/>
        </w:rPr>
      </w:pPr>
    </w:p>
    <w:p w:rsidR="00E54D3D" w:rsidRPr="00280D5C" w:rsidRDefault="00E54D3D" w:rsidP="00E54D3D">
      <w:pPr>
        <w:jc w:val="both"/>
        <w:rPr>
          <w:rFonts w:ascii="Arial" w:hAnsi="Arial" w:cs="Arial"/>
          <w:b/>
          <w:u w:val="single"/>
          <w:lang w:eastAsia="en-ZA"/>
        </w:rPr>
      </w:pPr>
      <w:r w:rsidRPr="00280D5C">
        <w:rPr>
          <w:rFonts w:ascii="Arial" w:hAnsi="Arial" w:cs="Arial"/>
          <w:b/>
          <w:u w:val="single"/>
          <w:lang w:eastAsia="en-ZA"/>
        </w:rPr>
        <w:t>Comments</w:t>
      </w:r>
    </w:p>
    <w:p w:rsidR="00E54D3D" w:rsidRPr="00280D5C" w:rsidRDefault="00E54D3D" w:rsidP="00E54D3D">
      <w:pPr>
        <w:jc w:val="both"/>
        <w:rPr>
          <w:rFonts w:ascii="Arial" w:hAnsi="Arial" w:cs="Arial"/>
          <w:b/>
        </w:rPr>
      </w:pPr>
      <w:r w:rsidRPr="00280D5C">
        <w:rPr>
          <w:rFonts w:ascii="Arial" w:hAnsi="Arial" w:cs="Arial"/>
        </w:rPr>
        <w:t xml:space="preserve">Members of Crimes </w:t>
      </w:r>
      <w:proofErr w:type="gramStart"/>
      <w:r w:rsidRPr="00280D5C">
        <w:rPr>
          <w:rFonts w:ascii="Arial" w:hAnsi="Arial" w:cs="Arial"/>
        </w:rPr>
        <w:t>Against</w:t>
      </w:r>
      <w:proofErr w:type="gramEnd"/>
      <w:r w:rsidRPr="00280D5C">
        <w:rPr>
          <w:rFonts w:ascii="Arial" w:hAnsi="Arial" w:cs="Arial"/>
        </w:rPr>
        <w:t xml:space="preserve"> the State Unit are multi-skilled and the National Head (DPCI) can assign any type of investigation to the members irrespective of its extent, nature, triviality and complexity.</w:t>
      </w:r>
    </w:p>
    <w:p w:rsidR="00E54D3D" w:rsidRDefault="00E54D3D" w:rsidP="00E54D3D">
      <w:pPr>
        <w:rPr>
          <w:rFonts w:ascii="Arial" w:hAnsi="Arial" w:cs="Arial"/>
          <w:b/>
        </w:rPr>
      </w:pPr>
    </w:p>
    <w:p w:rsidR="00E54D3D" w:rsidRDefault="00E54D3D" w:rsidP="00E54D3D">
      <w:pPr>
        <w:rPr>
          <w:rFonts w:ascii="Arial" w:hAnsi="Arial" w:cs="Arial"/>
          <w:b/>
        </w:rPr>
      </w:pPr>
    </w:p>
    <w:p w:rsidR="00E54D3D" w:rsidRDefault="00E54D3D" w:rsidP="00E54D3D">
      <w:pPr>
        <w:rPr>
          <w:rFonts w:ascii="Arial" w:hAnsi="Arial" w:cs="Arial"/>
          <w:b/>
        </w:rPr>
      </w:pPr>
    </w:p>
    <w:p w:rsidR="00E54D3D" w:rsidRPr="00280D5C" w:rsidRDefault="00E54D3D" w:rsidP="00E54D3D">
      <w:pPr>
        <w:rPr>
          <w:rFonts w:ascii="Arial" w:hAnsi="Arial" w:cs="Arial"/>
        </w:rPr>
      </w:pPr>
    </w:p>
    <w:p w:rsidR="00E54D3D" w:rsidRPr="00FD5A30" w:rsidRDefault="00E54D3D" w:rsidP="00E54D3D">
      <w:pPr>
        <w:jc w:val="both"/>
        <w:outlineLvl w:val="0"/>
        <w:rPr>
          <w:rFonts w:ascii="Arial" w:hAnsi="Arial" w:cs="Arial"/>
          <w:color w:val="000000"/>
        </w:rPr>
      </w:pPr>
    </w:p>
    <w:p w:rsidR="00366515" w:rsidRDefault="00366515" w:rsidP="002561C9">
      <w:pPr>
        <w:outlineLvl w:val="0"/>
        <w:rPr>
          <w:rFonts w:ascii="Arial Narrow" w:hAnsi="Arial Narrow"/>
          <w:sz w:val="18"/>
          <w:szCs w:val="18"/>
        </w:rPr>
      </w:pPr>
    </w:p>
    <w:sectPr w:rsidR="0036651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EA" w:rsidRDefault="00480FEA" w:rsidP="00020C8A">
      <w:r>
        <w:separator/>
      </w:r>
    </w:p>
  </w:endnote>
  <w:endnote w:type="continuationSeparator" w:id="0">
    <w:p w:rsidR="00480FEA" w:rsidRDefault="00480FEA"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EA" w:rsidRDefault="00480FEA" w:rsidP="00020C8A">
      <w:r>
        <w:separator/>
      </w:r>
    </w:p>
  </w:footnote>
  <w:footnote w:type="continuationSeparator" w:id="0">
    <w:p w:rsidR="00480FEA" w:rsidRDefault="00480FEA"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F5AE8"/>
    <w:multiLevelType w:val="hybridMultilevel"/>
    <w:tmpl w:val="2D56B578"/>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A955D36"/>
    <w:multiLevelType w:val="multilevel"/>
    <w:tmpl w:val="5816BA8E"/>
    <w:lvl w:ilvl="0">
      <w:start w:val="2011"/>
      <w:numFmt w:val="decimal"/>
      <w:lvlText w:val="%1"/>
      <w:lvlJc w:val="left"/>
      <w:pPr>
        <w:ind w:left="705" w:hanging="705"/>
      </w:pPr>
      <w:rPr>
        <w:rFonts w:hint="default"/>
      </w:rPr>
    </w:lvl>
    <w:lvl w:ilvl="1">
      <w:start w:val="12"/>
      <w:numFmt w:val="decimal"/>
      <w:lvlText w:val="%1-%2"/>
      <w:lvlJc w:val="left"/>
      <w:pPr>
        <w:ind w:left="1725" w:hanging="70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0"/>
  </w:num>
  <w:num w:numId="8">
    <w:abstractNumId w:val="2"/>
  </w:num>
  <w:num w:numId="9">
    <w:abstractNumId w:val="7"/>
  </w:num>
  <w:num w:numId="10">
    <w:abstractNumId w:val="5"/>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E562D"/>
    <w:rsid w:val="003F6713"/>
    <w:rsid w:val="004620BB"/>
    <w:rsid w:val="00480FEA"/>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54D3D"/>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general-default">
    <w:name w:val="general-default"/>
    <w:basedOn w:val="Normal"/>
    <w:next w:val="Normal"/>
    <w:uiPriority w:val="99"/>
    <w:rsid w:val="00E54D3D"/>
    <w:pPr>
      <w:autoSpaceDE w:val="0"/>
      <w:autoSpaceDN w:val="0"/>
      <w:adjustRightInd w:val="0"/>
    </w:pPr>
    <w:rPr>
      <w:rFonts w:ascii="Arial" w:eastAsia="Calibri" w:hAnsi="Arial" w:cs="Arial"/>
      <w:lang w:val="en-ZA"/>
    </w:rPr>
  </w:style>
  <w:style w:type="paragraph" w:customStyle="1" w:styleId="amd-section">
    <w:name w:val="amd-section"/>
    <w:basedOn w:val="Normal"/>
    <w:next w:val="Normal"/>
    <w:uiPriority w:val="99"/>
    <w:rsid w:val="00E54D3D"/>
    <w:pPr>
      <w:autoSpaceDE w:val="0"/>
      <w:autoSpaceDN w:val="0"/>
      <w:adjustRightInd w:val="0"/>
    </w:pPr>
    <w:rPr>
      <w:rFonts w:ascii="Arial" w:eastAsia="Calibri" w:hAnsi="Arial" w:cs="Arial"/>
      <w:lang w:val="en-ZA" w:eastAsia="en-ZA"/>
    </w:rPr>
  </w:style>
  <w:style w:type="paragraph" w:customStyle="1" w:styleId="amd-para">
    <w:name w:val="amd-para"/>
    <w:basedOn w:val="Normal"/>
    <w:next w:val="Normal"/>
    <w:uiPriority w:val="99"/>
    <w:rsid w:val="00E54D3D"/>
    <w:pPr>
      <w:autoSpaceDE w:val="0"/>
      <w:autoSpaceDN w:val="0"/>
      <w:adjustRightInd w:val="0"/>
    </w:pPr>
    <w:rPr>
      <w:rFonts w:ascii="Arial" w:eastAsia="Calibri" w:hAnsi="Arial" w:cs="Arial"/>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2017-09-06T16:34:00Z</dcterms:created>
  <dcterms:modified xsi:type="dcterms:W3CDTF">2017-09-06T16:34:00Z</dcterms:modified>
</cp:coreProperties>
</file>