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67" w:rsidRPr="004A1BAF" w:rsidRDefault="00844467" w:rsidP="00844467">
      <w:pPr>
        <w:pStyle w:val="DACBODYTEXT"/>
        <w:ind w:left="2244" w:firstLine="636"/>
        <w:rPr>
          <w:b/>
          <w:sz w:val="32"/>
          <w:szCs w:val="32"/>
        </w:rPr>
      </w:pPr>
      <w:bookmarkStart w:id="0" w:name="_GoBack"/>
      <w:bookmarkEnd w:id="0"/>
      <w:r w:rsidRPr="004A1BAF">
        <w:rPr>
          <w:b/>
          <w:sz w:val="32"/>
          <w:szCs w:val="32"/>
        </w:rPr>
        <w:t>NATIONAL ASSEMBLY</w:t>
      </w:r>
    </w:p>
    <w:p w:rsidR="00844467" w:rsidRPr="001345DE" w:rsidRDefault="00844467" w:rsidP="00844467">
      <w:pPr>
        <w:jc w:val="both"/>
        <w:rPr>
          <w:rFonts w:cs="Arial"/>
          <w:b/>
          <w:bCs/>
          <w:color w:val="FF0000"/>
          <w:sz w:val="32"/>
          <w:szCs w:val="32"/>
          <w:u w:val="single"/>
        </w:rPr>
      </w:pPr>
      <w:r>
        <w:rPr>
          <w:rFonts w:cs="Arial"/>
          <w:b/>
          <w:bCs/>
          <w:color w:val="FF0000"/>
          <w:sz w:val="32"/>
          <w:szCs w:val="32"/>
          <w:u w:val="single"/>
        </w:rPr>
        <w:t xml:space="preserve"> </w:t>
      </w:r>
    </w:p>
    <w:p w:rsidR="00844467" w:rsidRPr="00CE6198" w:rsidRDefault="00844467" w:rsidP="00844467">
      <w:pPr>
        <w:pStyle w:val="DACBODYTEXT"/>
        <w:ind w:left="84"/>
        <w:rPr>
          <w:b/>
          <w:sz w:val="32"/>
          <w:szCs w:val="32"/>
          <w:u w:val="single"/>
        </w:rPr>
      </w:pPr>
      <w:r w:rsidRPr="00CE6198">
        <w:rPr>
          <w:b/>
          <w:sz w:val="32"/>
          <w:szCs w:val="32"/>
          <w:u w:val="single"/>
        </w:rPr>
        <w:t>QUESTION NO.1356 - 2020</w:t>
      </w:r>
    </w:p>
    <w:p w:rsidR="00844467" w:rsidRPr="00CE6198" w:rsidRDefault="00844467" w:rsidP="00844467">
      <w:pPr>
        <w:tabs>
          <w:tab w:val="left" w:pos="576"/>
          <w:tab w:val="left" w:pos="1296"/>
          <w:tab w:val="left" w:pos="6336"/>
        </w:tabs>
        <w:spacing w:after="0"/>
        <w:ind w:left="70"/>
        <w:jc w:val="both"/>
        <w:rPr>
          <w:rFonts w:cs="Arial"/>
          <w:b/>
          <w:sz w:val="32"/>
          <w:szCs w:val="32"/>
        </w:rPr>
      </w:pPr>
      <w:r w:rsidRPr="00CE6198">
        <w:rPr>
          <w:rFonts w:cs="Arial"/>
          <w:b/>
          <w:sz w:val="32"/>
          <w:szCs w:val="32"/>
          <w:u w:val="single"/>
        </w:rPr>
        <w:t>WRITTEN REPLY</w:t>
      </w:r>
    </w:p>
    <w:p w:rsidR="00844467" w:rsidRDefault="00844467" w:rsidP="00844467">
      <w:pPr>
        <w:tabs>
          <w:tab w:val="left" w:pos="6336"/>
        </w:tabs>
        <w:spacing w:after="0"/>
        <w:ind w:left="70"/>
        <w:jc w:val="both"/>
        <w:rPr>
          <w:b/>
          <w:sz w:val="32"/>
          <w:szCs w:val="32"/>
        </w:rPr>
      </w:pPr>
      <w:r w:rsidRPr="00CE6198">
        <w:rPr>
          <w:b/>
          <w:sz w:val="32"/>
          <w:szCs w:val="32"/>
        </w:rPr>
        <w:t>Internal Question Paper NO. 20 -2020: Date of publication - 26</w:t>
      </w:r>
      <w:r w:rsidRPr="00CE6198">
        <w:rPr>
          <w:rFonts w:cs="Arial"/>
          <w:b/>
          <w:sz w:val="32"/>
          <w:szCs w:val="32"/>
        </w:rPr>
        <w:t xml:space="preserve"> June 2020</w:t>
      </w:r>
      <w:r w:rsidRPr="00CE6198">
        <w:rPr>
          <w:b/>
          <w:sz w:val="32"/>
          <w:szCs w:val="32"/>
        </w:rPr>
        <w:t xml:space="preserve">: </w:t>
      </w:r>
    </w:p>
    <w:p w:rsidR="00844467" w:rsidRPr="00CE6198" w:rsidRDefault="00844467" w:rsidP="00844467">
      <w:pPr>
        <w:tabs>
          <w:tab w:val="left" w:pos="6336"/>
        </w:tabs>
        <w:spacing w:after="0"/>
        <w:ind w:left="70"/>
        <w:jc w:val="both"/>
        <w:rPr>
          <w:b/>
          <w:sz w:val="32"/>
          <w:szCs w:val="32"/>
        </w:rPr>
      </w:pPr>
    </w:p>
    <w:p w:rsidR="00844467" w:rsidRDefault="00844467" w:rsidP="00844467">
      <w:pPr>
        <w:tabs>
          <w:tab w:val="left" w:pos="8931"/>
        </w:tabs>
        <w:spacing w:after="0"/>
        <w:ind w:left="70"/>
        <w:jc w:val="both"/>
        <w:rPr>
          <w:rFonts w:cs="Arial"/>
          <w:b/>
          <w:caps/>
          <w:sz w:val="32"/>
          <w:szCs w:val="32"/>
        </w:rPr>
      </w:pPr>
      <w:r w:rsidRPr="00CE6198">
        <w:rPr>
          <w:b/>
          <w:sz w:val="32"/>
          <w:szCs w:val="32"/>
        </w:rPr>
        <w:t>“</w:t>
      </w:r>
      <w:proofErr w:type="gramStart"/>
      <w:r w:rsidRPr="00CE6198">
        <w:rPr>
          <w:b/>
          <w:sz w:val="32"/>
          <w:szCs w:val="32"/>
        </w:rPr>
        <w:t>Dr  M</w:t>
      </w:r>
      <w:proofErr w:type="gramEnd"/>
      <w:r w:rsidRPr="00CE6198">
        <w:rPr>
          <w:b/>
          <w:sz w:val="32"/>
          <w:szCs w:val="32"/>
        </w:rPr>
        <w:t xml:space="preserve"> J Cardo  (DA): to ask the Minister of Sport, Arts and Culture:</w:t>
      </w:r>
      <w:r w:rsidRPr="00CE6198">
        <w:rPr>
          <w:rFonts w:cs="Arial"/>
          <w:b/>
          <w:caps/>
          <w:sz w:val="32"/>
          <w:szCs w:val="32"/>
        </w:rPr>
        <w:t xml:space="preserve"> </w:t>
      </w:r>
    </w:p>
    <w:p w:rsidR="00844467" w:rsidRDefault="00844467" w:rsidP="00844467">
      <w:pPr>
        <w:tabs>
          <w:tab w:val="left" w:pos="8931"/>
        </w:tabs>
        <w:spacing w:after="0"/>
        <w:ind w:left="70"/>
        <w:jc w:val="both"/>
        <w:rPr>
          <w:rFonts w:cs="Arial"/>
          <w:b/>
          <w:caps/>
          <w:sz w:val="32"/>
          <w:szCs w:val="32"/>
        </w:rPr>
      </w:pPr>
    </w:p>
    <w:p w:rsidR="00844467" w:rsidRDefault="00844467" w:rsidP="00844467">
      <w:pPr>
        <w:tabs>
          <w:tab w:val="left" w:pos="8931"/>
        </w:tabs>
        <w:spacing w:after="0"/>
        <w:ind w:left="70"/>
        <w:jc w:val="both"/>
        <w:rPr>
          <w:rFonts w:cs="Arial"/>
          <w:sz w:val="32"/>
          <w:szCs w:val="32"/>
        </w:rPr>
      </w:pPr>
      <w:r w:rsidRPr="00CE6198">
        <w:rPr>
          <w:rFonts w:cs="Arial"/>
          <w:b/>
          <w:caps/>
          <w:sz w:val="32"/>
          <w:szCs w:val="32"/>
        </w:rPr>
        <w:t>W</w:t>
      </w:r>
      <w:r w:rsidRPr="00CE6198">
        <w:rPr>
          <w:rFonts w:cs="Arial"/>
          <w:b/>
          <w:sz w:val="32"/>
          <w:szCs w:val="32"/>
        </w:rPr>
        <w:t>hat number of applications has his Department (</w:t>
      </w:r>
      <w:proofErr w:type="gramStart"/>
      <w:r w:rsidRPr="00CE6198">
        <w:rPr>
          <w:rFonts w:cs="Arial"/>
          <w:b/>
          <w:sz w:val="32"/>
          <w:szCs w:val="32"/>
        </w:rPr>
        <w:t>a)  received</w:t>
      </w:r>
      <w:proofErr w:type="gramEnd"/>
      <w:r w:rsidRPr="00CE6198">
        <w:rPr>
          <w:rFonts w:cs="Arial"/>
          <w:b/>
          <w:sz w:val="32"/>
          <w:szCs w:val="32"/>
        </w:rPr>
        <w:t xml:space="preserve"> and (b) approved for the (</w:t>
      </w:r>
      <w:proofErr w:type="spellStart"/>
      <w:r w:rsidRPr="00CE6198">
        <w:rPr>
          <w:rFonts w:cs="Arial"/>
          <w:b/>
          <w:sz w:val="32"/>
          <w:szCs w:val="32"/>
        </w:rPr>
        <w:t>i</w:t>
      </w:r>
      <w:proofErr w:type="spellEnd"/>
      <w:r w:rsidRPr="00CE6198">
        <w:rPr>
          <w:rFonts w:cs="Arial"/>
          <w:b/>
          <w:sz w:val="32"/>
          <w:szCs w:val="32"/>
        </w:rPr>
        <w:t xml:space="preserve">) removal and/or (ii) relocation of a  statue since the enactment of the National Heritage Resources Act, No 25 of 1999, on 28 April 1999. </w:t>
      </w:r>
      <w:r w:rsidRPr="00CE6198">
        <w:rPr>
          <w:rFonts w:cs="Arial"/>
          <w:sz w:val="32"/>
          <w:szCs w:val="32"/>
        </w:rPr>
        <w:t xml:space="preserve">  (</w:t>
      </w:r>
      <w:r w:rsidRPr="00CE6198">
        <w:rPr>
          <w:rFonts w:cs="Arial"/>
          <w:b/>
          <w:sz w:val="32"/>
          <w:szCs w:val="32"/>
        </w:rPr>
        <w:t>NO 1726E</w:t>
      </w:r>
      <w:r w:rsidRPr="00CE6198">
        <w:rPr>
          <w:rFonts w:cs="Arial"/>
          <w:sz w:val="32"/>
          <w:szCs w:val="32"/>
        </w:rPr>
        <w:t>)</w:t>
      </w:r>
    </w:p>
    <w:p w:rsidR="00844467" w:rsidRPr="00CE6198" w:rsidRDefault="00844467" w:rsidP="00844467">
      <w:pPr>
        <w:tabs>
          <w:tab w:val="left" w:pos="8931"/>
        </w:tabs>
        <w:spacing w:after="0"/>
        <w:ind w:left="70"/>
        <w:jc w:val="both"/>
        <w:rPr>
          <w:rFonts w:cs="Arial"/>
          <w:sz w:val="32"/>
          <w:szCs w:val="32"/>
        </w:rPr>
      </w:pPr>
      <w:r w:rsidRPr="00CE6198">
        <w:rPr>
          <w:rFonts w:cs="Arial"/>
          <w:sz w:val="32"/>
          <w:szCs w:val="32"/>
        </w:rPr>
        <w:tab/>
      </w:r>
    </w:p>
    <w:p w:rsidR="00844467" w:rsidRPr="00CE6198" w:rsidRDefault="00844467" w:rsidP="00844467">
      <w:pPr>
        <w:tabs>
          <w:tab w:val="left" w:pos="8931"/>
        </w:tabs>
        <w:spacing w:after="0"/>
        <w:ind w:left="70"/>
        <w:jc w:val="both"/>
        <w:rPr>
          <w:rFonts w:cs="Arial"/>
          <w:b/>
          <w:sz w:val="32"/>
          <w:szCs w:val="32"/>
        </w:rPr>
      </w:pPr>
      <w:r w:rsidRPr="00CE6198">
        <w:rPr>
          <w:rFonts w:cs="Arial"/>
          <w:b/>
          <w:sz w:val="32"/>
          <w:szCs w:val="32"/>
        </w:rPr>
        <w:t>REPLY</w:t>
      </w:r>
    </w:p>
    <w:p w:rsidR="00844467" w:rsidRPr="00CE6198" w:rsidRDefault="00844467" w:rsidP="00844467">
      <w:pPr>
        <w:tabs>
          <w:tab w:val="left" w:pos="8931"/>
        </w:tabs>
        <w:spacing w:after="0"/>
        <w:jc w:val="both"/>
        <w:rPr>
          <w:rFonts w:cs="Arial"/>
          <w:sz w:val="32"/>
          <w:szCs w:val="32"/>
        </w:rPr>
      </w:pPr>
      <w:r w:rsidRPr="00CE6198">
        <w:rPr>
          <w:rFonts w:cs="Arial"/>
          <w:sz w:val="32"/>
          <w:szCs w:val="32"/>
        </w:rPr>
        <w:t xml:space="preserve">The Department does not receive or approve applications for the removal of statues. The National Heritage Resources Act, 1999, (Act No. 25 of 1999) provides for a three-tier heritage resource management system in which heritage resources of national significance are managed by the Department’s entity the South African Heritage Resources Agency (SAHRA). Heritage resources of provincial significance are managed by Provincial Heritage Resource Authorities (PHRAs). Heritage of local significance are managed by local authorities. SAHRA would receive applications only if the resources were on a property that is declared as a national heritage site. The removal or relocation of statues would require the issuing of a permit by the relevant PHRA. SAHRA has </w:t>
      </w:r>
      <w:r w:rsidRPr="00CE6198">
        <w:rPr>
          <w:rFonts w:cs="Arial"/>
          <w:sz w:val="32"/>
          <w:szCs w:val="32"/>
        </w:rPr>
        <w:lastRenderedPageBreak/>
        <w:t>only participated by commenting on applications made to PHRAs and local authorities.</w:t>
      </w:r>
    </w:p>
    <w:p w:rsidR="00844467" w:rsidRPr="00CE6198" w:rsidRDefault="00844467" w:rsidP="00844467">
      <w:pPr>
        <w:tabs>
          <w:tab w:val="left" w:pos="8931"/>
        </w:tabs>
        <w:spacing w:after="0"/>
        <w:jc w:val="both"/>
        <w:rPr>
          <w:rFonts w:cs="Arial"/>
          <w:sz w:val="32"/>
          <w:szCs w:val="32"/>
        </w:rPr>
      </w:pPr>
      <w:r w:rsidRPr="00CE6198">
        <w:rPr>
          <w:rFonts w:cs="Arial"/>
          <w:sz w:val="32"/>
          <w:szCs w:val="32"/>
        </w:rPr>
        <w:t>.</w:t>
      </w:r>
    </w:p>
    <w:p w:rsidR="00844467" w:rsidRDefault="00844467" w:rsidP="00844467">
      <w:pPr>
        <w:tabs>
          <w:tab w:val="left" w:pos="8931"/>
        </w:tabs>
        <w:spacing w:after="0"/>
        <w:jc w:val="both"/>
        <w:rPr>
          <w:rFonts w:cs="Arial"/>
          <w:sz w:val="32"/>
          <w:szCs w:val="32"/>
        </w:rPr>
      </w:pPr>
      <w:r w:rsidRPr="00CE6198">
        <w:rPr>
          <w:rFonts w:cs="Arial"/>
          <w:sz w:val="32"/>
          <w:szCs w:val="32"/>
        </w:rPr>
        <w:t>The Department through its entity SAHRA has therefore (a) not received any application and (b) not approved any application for the (</w:t>
      </w:r>
      <w:proofErr w:type="spellStart"/>
      <w:r w:rsidRPr="00CE6198">
        <w:rPr>
          <w:rFonts w:cs="Arial"/>
          <w:sz w:val="32"/>
          <w:szCs w:val="32"/>
        </w:rPr>
        <w:t>i</w:t>
      </w:r>
      <w:proofErr w:type="spellEnd"/>
      <w:r w:rsidRPr="00CE6198">
        <w:rPr>
          <w:rFonts w:cs="Arial"/>
          <w:sz w:val="32"/>
          <w:szCs w:val="32"/>
        </w:rPr>
        <w:t>) remo</w:t>
      </w:r>
      <w:r>
        <w:rPr>
          <w:rFonts w:cs="Arial"/>
          <w:sz w:val="32"/>
          <w:szCs w:val="32"/>
        </w:rPr>
        <w:t>val and/or (ii) relocation of a</w:t>
      </w:r>
      <w:r w:rsidRPr="00CE6198">
        <w:rPr>
          <w:rFonts w:cs="Arial"/>
          <w:sz w:val="32"/>
          <w:szCs w:val="32"/>
        </w:rPr>
        <w:t xml:space="preserve"> statue since the enactment of the National Heritage Resources Act, No 25 of 1999, on 28 April 1999.</w:t>
      </w: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844467" w:rsidRDefault="00844467" w:rsidP="00844467">
      <w:pPr>
        <w:tabs>
          <w:tab w:val="left" w:pos="8931"/>
        </w:tabs>
        <w:spacing w:after="0"/>
        <w:jc w:val="both"/>
        <w:rPr>
          <w:rFonts w:cs="Arial"/>
          <w:sz w:val="32"/>
          <w:szCs w:val="32"/>
        </w:rPr>
      </w:pPr>
    </w:p>
    <w:p w:rsidR="005970C6" w:rsidRDefault="005970C6"/>
    <w:sectPr w:rsidR="0059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67"/>
    <w:rsid w:val="00042098"/>
    <w:rsid w:val="005970C6"/>
    <w:rsid w:val="0084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D44F0-34AD-40C9-A543-66973652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467"/>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44467"/>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2020-07-16T15:46:00Z</dcterms:created>
  <dcterms:modified xsi:type="dcterms:W3CDTF">2020-07-16T15:46:00Z</dcterms:modified>
</cp:coreProperties>
</file>