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5E68D0"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E1060B">
        <w:rPr>
          <w:b/>
          <w:sz w:val="24"/>
          <w:szCs w:val="24"/>
        </w:rPr>
        <w:t>3</w:t>
      </w:r>
      <w:r w:rsidR="00077912">
        <w:rPr>
          <w:b/>
          <w:sz w:val="24"/>
          <w:szCs w:val="24"/>
        </w:rPr>
        <w:t>53</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877810">
        <w:rPr>
          <w:b/>
          <w:sz w:val="24"/>
          <w:szCs w:val="24"/>
        </w:rPr>
        <w:t>14</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077912" w:rsidRPr="009476EF" w:rsidRDefault="00077912" w:rsidP="00077912">
      <w:pPr>
        <w:spacing w:before="100" w:beforeAutospacing="1" w:after="100" w:afterAutospacing="1"/>
        <w:ind w:left="720" w:hanging="720"/>
        <w:jc w:val="both"/>
        <w:outlineLvl w:val="0"/>
        <w:rPr>
          <w:b/>
          <w:sz w:val="24"/>
          <w:szCs w:val="24"/>
        </w:rPr>
      </w:pPr>
      <w:r w:rsidRPr="009476EF">
        <w:rPr>
          <w:b/>
          <w:sz w:val="24"/>
          <w:szCs w:val="24"/>
        </w:rPr>
        <w:t xml:space="preserve">Ms C V King (DA) </w:t>
      </w:r>
      <w:r w:rsidRPr="00C6375B">
        <w:rPr>
          <w:rFonts w:eastAsia="Calibri"/>
          <w:b/>
          <w:sz w:val="24"/>
          <w:szCs w:val="24"/>
        </w:rPr>
        <w:t>to</w:t>
      </w:r>
      <w:r w:rsidRPr="009476EF">
        <w:rPr>
          <w:b/>
          <w:sz w:val="24"/>
          <w:szCs w:val="24"/>
        </w:rPr>
        <w:t xml:space="preserve"> ask the Minister of Human Settlements, Water and Sanitation</w:t>
      </w:r>
      <w:r>
        <w:rPr>
          <w:b/>
          <w:sz w:val="24"/>
          <w:szCs w:val="24"/>
        </w:rPr>
        <w:fldChar w:fldCharType="begin"/>
      </w:r>
      <w:r>
        <w:instrText xml:space="preserve"> XE "</w:instrText>
      </w:r>
      <w:r w:rsidRPr="00145ED6">
        <w:rPr>
          <w:b/>
          <w:sz w:val="24"/>
          <w:szCs w:val="24"/>
        </w:rPr>
        <w:instrText>Human Settlements, Water and Sanitation</w:instrText>
      </w:r>
      <w:r>
        <w:instrText xml:space="preserve">" </w:instrText>
      </w:r>
      <w:r>
        <w:rPr>
          <w:b/>
          <w:sz w:val="24"/>
          <w:szCs w:val="24"/>
        </w:rPr>
        <w:fldChar w:fldCharType="end"/>
      </w:r>
      <w:r w:rsidRPr="009476EF">
        <w:rPr>
          <w:b/>
          <w:sz w:val="24"/>
          <w:szCs w:val="24"/>
        </w:rPr>
        <w:t>:</w:t>
      </w:r>
    </w:p>
    <w:p w:rsidR="00077912" w:rsidRPr="009476EF" w:rsidRDefault="00077912" w:rsidP="00077912">
      <w:pPr>
        <w:spacing w:before="100" w:beforeAutospacing="1" w:after="100" w:afterAutospacing="1"/>
        <w:ind w:left="720" w:hanging="720"/>
        <w:jc w:val="both"/>
        <w:outlineLvl w:val="0"/>
        <w:rPr>
          <w:sz w:val="24"/>
          <w:szCs w:val="24"/>
        </w:rPr>
      </w:pPr>
      <w:r w:rsidRPr="009476EF">
        <w:rPr>
          <w:sz w:val="24"/>
          <w:szCs w:val="24"/>
        </w:rPr>
        <w:t>(1)</w:t>
      </w:r>
      <w:r w:rsidRPr="009476EF">
        <w:rPr>
          <w:sz w:val="24"/>
          <w:szCs w:val="24"/>
        </w:rPr>
        <w:tab/>
        <w:t>With reference to her reply to question 2193 on 18 December 2020, (a) what total number of housing projects was delivered in the Buffalo City M</w:t>
      </w:r>
      <w:r>
        <w:rPr>
          <w:sz w:val="24"/>
          <w:szCs w:val="24"/>
        </w:rPr>
        <w:t>etropolitan M</w:t>
      </w:r>
      <w:r w:rsidRPr="009476EF">
        <w:rPr>
          <w:sz w:val="24"/>
          <w:szCs w:val="24"/>
        </w:rPr>
        <w:t xml:space="preserve">unicipality in 2020 and (b) in which geographical areas will houses be delivered in (i) 2021, (ii) 2022 and (iii) 2023 in the </w:t>
      </w:r>
      <w:r>
        <w:rPr>
          <w:sz w:val="24"/>
          <w:szCs w:val="24"/>
        </w:rPr>
        <w:t>specified m</w:t>
      </w:r>
      <w:r w:rsidRPr="009476EF">
        <w:rPr>
          <w:sz w:val="24"/>
          <w:szCs w:val="24"/>
        </w:rPr>
        <w:t>unicipality;</w:t>
      </w:r>
    </w:p>
    <w:p w:rsidR="00077912" w:rsidRPr="009476EF" w:rsidRDefault="00077912" w:rsidP="00077912">
      <w:pPr>
        <w:spacing w:before="100" w:beforeAutospacing="1" w:after="100" w:afterAutospacing="1"/>
        <w:ind w:left="720" w:hanging="720"/>
        <w:jc w:val="both"/>
        <w:outlineLvl w:val="0"/>
        <w:rPr>
          <w:sz w:val="24"/>
          <w:szCs w:val="24"/>
        </w:rPr>
      </w:pPr>
      <w:r w:rsidRPr="009476EF">
        <w:rPr>
          <w:sz w:val="24"/>
          <w:szCs w:val="24"/>
        </w:rPr>
        <w:t>(2)</w:t>
      </w:r>
      <w:r w:rsidRPr="009476EF">
        <w:rPr>
          <w:sz w:val="24"/>
          <w:szCs w:val="24"/>
        </w:rPr>
        <w:tab/>
        <w:t xml:space="preserve">whether housing blue cards are considered for housing allocation in the </w:t>
      </w:r>
      <w:r>
        <w:rPr>
          <w:sz w:val="24"/>
          <w:szCs w:val="24"/>
        </w:rPr>
        <w:t>m</w:t>
      </w:r>
      <w:r w:rsidRPr="009476EF">
        <w:rPr>
          <w:sz w:val="24"/>
          <w:szCs w:val="24"/>
        </w:rPr>
        <w:t>unicipality; if not, why not; if so, what are the relevant details?</w:t>
      </w:r>
      <w:r w:rsidRPr="009476EF">
        <w:rPr>
          <w:sz w:val="24"/>
          <w:szCs w:val="24"/>
        </w:rPr>
        <w:tab/>
      </w:r>
      <w:r w:rsidR="00FB712B">
        <w:rPr>
          <w:sz w:val="24"/>
          <w:szCs w:val="24"/>
        </w:rPr>
        <w:tab/>
      </w:r>
      <w:r w:rsidR="00FB712B">
        <w:rPr>
          <w:sz w:val="24"/>
          <w:szCs w:val="24"/>
        </w:rPr>
        <w:tab/>
      </w:r>
      <w:r w:rsidR="00FB712B">
        <w:rPr>
          <w:sz w:val="24"/>
          <w:szCs w:val="24"/>
        </w:rPr>
        <w:tab/>
      </w:r>
      <w:r w:rsidR="00FB712B">
        <w:rPr>
          <w:sz w:val="24"/>
          <w:szCs w:val="24"/>
        </w:rPr>
        <w:tab/>
      </w:r>
      <w:r w:rsidRPr="00FB712B">
        <w:rPr>
          <w:b/>
        </w:rPr>
        <w:t>NW1549E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b/>
          <w:sz w:val="24"/>
          <w:szCs w:val="24"/>
        </w:rPr>
      </w:pPr>
      <w:r w:rsidRPr="00832AD2">
        <w:rPr>
          <w:b/>
          <w:sz w:val="24"/>
          <w:szCs w:val="24"/>
        </w:rPr>
        <w:t>REPLY:</w:t>
      </w:r>
    </w:p>
    <w:p w:rsidR="002B1F3F" w:rsidRPr="00091EC9" w:rsidRDefault="002B1F3F" w:rsidP="002B1F3F">
      <w:pPr>
        <w:pStyle w:val="BodyTextIndent2"/>
        <w:tabs>
          <w:tab w:val="left" w:pos="567"/>
          <w:tab w:val="left" w:pos="851"/>
          <w:tab w:val="left" w:pos="1276"/>
        </w:tabs>
        <w:spacing w:before="100" w:beforeAutospacing="1" w:after="100" w:afterAutospacing="1" w:line="276" w:lineRule="auto"/>
        <w:ind w:left="567" w:hanging="567"/>
        <w:jc w:val="both"/>
        <w:rPr>
          <w:rFonts w:ascii="Times New Roman" w:hAnsi="Times New Roman"/>
          <w:color w:val="000000"/>
          <w:szCs w:val="24"/>
          <w:lang w:val="en-GB"/>
        </w:rPr>
      </w:pPr>
      <w:r>
        <w:rPr>
          <w:rFonts w:ascii="Times New Roman" w:hAnsi="Times New Roman"/>
          <w:szCs w:val="24"/>
          <w:lang w:val="en-US"/>
        </w:rPr>
        <w:t>(1)</w:t>
      </w:r>
      <w:r>
        <w:rPr>
          <w:rFonts w:ascii="Times New Roman" w:hAnsi="Times New Roman"/>
          <w:szCs w:val="24"/>
          <w:lang w:val="en-US"/>
        </w:rPr>
        <w:tab/>
      </w:r>
      <w:r w:rsidRPr="00091EC9">
        <w:rPr>
          <w:rFonts w:ascii="Times New Roman" w:hAnsi="Times New Roman"/>
          <w:szCs w:val="24"/>
        </w:rPr>
        <w:t xml:space="preserve">According to the </w:t>
      </w:r>
      <w:r w:rsidRPr="00091EC9">
        <w:rPr>
          <w:rFonts w:ascii="Times New Roman" w:hAnsi="Times New Roman"/>
          <w:color w:val="000000"/>
          <w:szCs w:val="24"/>
          <w:lang w:val="en-GB"/>
        </w:rPr>
        <w:t>data on the Housing Subsidy System (HSS) captured by the Eastern Cape Provinc</w:t>
      </w:r>
      <w:r>
        <w:rPr>
          <w:rFonts w:ascii="Times New Roman" w:hAnsi="Times New Roman"/>
          <w:color w:val="000000"/>
          <w:szCs w:val="24"/>
          <w:lang w:val="en-GB"/>
        </w:rPr>
        <w:t>ial Department of Human Settlements</w:t>
      </w:r>
      <w:r w:rsidRPr="00091EC9">
        <w:rPr>
          <w:rFonts w:ascii="Times New Roman" w:hAnsi="Times New Roman"/>
          <w:color w:val="000000"/>
          <w:szCs w:val="24"/>
          <w:lang w:val="en-GB"/>
        </w:rPr>
        <w:t>, twelve projects were delivered with 189 serviced sites and 510 housing units completed for the period between 01 April 2020</w:t>
      </w:r>
      <w:r>
        <w:rPr>
          <w:rFonts w:ascii="Times New Roman" w:hAnsi="Times New Roman"/>
          <w:color w:val="000000"/>
          <w:szCs w:val="24"/>
          <w:lang w:val="en-GB"/>
        </w:rPr>
        <w:t xml:space="preserve"> and </w:t>
      </w:r>
      <w:r w:rsidRPr="00091EC9">
        <w:rPr>
          <w:rFonts w:ascii="Times New Roman" w:hAnsi="Times New Roman"/>
          <w:color w:val="000000"/>
          <w:szCs w:val="24"/>
          <w:lang w:val="en-GB"/>
        </w:rPr>
        <w:t>31 March 2021.</w:t>
      </w:r>
    </w:p>
    <w:p w:rsidR="002B1F3F" w:rsidRDefault="002B1F3F" w:rsidP="002B1F3F">
      <w:pPr>
        <w:pStyle w:val="BodyTextIndent2"/>
        <w:tabs>
          <w:tab w:val="left" w:pos="720"/>
          <w:tab w:val="left" w:pos="1134"/>
        </w:tabs>
        <w:spacing w:before="100" w:beforeAutospacing="1" w:after="100" w:afterAutospacing="1" w:line="276" w:lineRule="auto"/>
        <w:ind w:left="567" w:hanging="567"/>
        <w:jc w:val="both"/>
        <w:rPr>
          <w:rFonts w:ascii="Times New Roman" w:hAnsi="Times New Roman"/>
          <w:color w:val="000000"/>
          <w:szCs w:val="24"/>
          <w:lang w:val="en-GB"/>
        </w:rPr>
      </w:pPr>
      <w:r>
        <w:rPr>
          <w:rFonts w:ascii="Times New Roman" w:hAnsi="Times New Roman"/>
          <w:color w:val="000000"/>
          <w:szCs w:val="24"/>
          <w:lang w:val="en-GB"/>
        </w:rPr>
        <w:t>(i)</w:t>
      </w:r>
      <w:r>
        <w:rPr>
          <w:rFonts w:ascii="Times New Roman" w:hAnsi="Times New Roman"/>
          <w:color w:val="000000"/>
          <w:szCs w:val="24"/>
          <w:lang w:val="en-GB"/>
        </w:rPr>
        <w:tab/>
      </w:r>
      <w:r w:rsidRPr="00091EC9">
        <w:rPr>
          <w:rFonts w:ascii="Times New Roman" w:hAnsi="Times New Roman"/>
          <w:color w:val="000000"/>
          <w:szCs w:val="24"/>
          <w:lang w:val="en-GB"/>
        </w:rPr>
        <w:t>The assessed and approved Eastern Cape Human Settlements Development Grant (HSDG) Business Plan for the period 2021/22 financial year indicates that there are projects planned to deliver houses and serviced sites within the Buffalo City Metro geographic areas as indicated hereunder:</w:t>
      </w:r>
    </w:p>
    <w:p w:rsidR="002B1F3F" w:rsidRDefault="002B1F3F" w:rsidP="002B1F3F">
      <w:pPr>
        <w:pStyle w:val="BodyTextIndent2"/>
        <w:tabs>
          <w:tab w:val="left" w:pos="720"/>
          <w:tab w:val="left" w:pos="1134"/>
        </w:tabs>
        <w:spacing w:before="100" w:beforeAutospacing="1" w:after="100" w:afterAutospacing="1" w:line="276" w:lineRule="auto"/>
        <w:ind w:left="567" w:hanging="567"/>
        <w:jc w:val="both"/>
        <w:rPr>
          <w:rFonts w:ascii="Times New Roman" w:hAnsi="Times New Roman"/>
          <w:color w:val="000000"/>
          <w:szCs w:val="24"/>
          <w:lang w:val="en-GB"/>
        </w:rPr>
      </w:pPr>
    </w:p>
    <w:p w:rsidR="002B1F3F" w:rsidRDefault="002B1F3F" w:rsidP="002B1F3F">
      <w:pPr>
        <w:pStyle w:val="BodyTextIndent2"/>
        <w:tabs>
          <w:tab w:val="left" w:pos="720"/>
          <w:tab w:val="left" w:pos="1134"/>
        </w:tabs>
        <w:spacing w:before="100" w:beforeAutospacing="1" w:after="100" w:afterAutospacing="1" w:line="276" w:lineRule="auto"/>
        <w:ind w:left="567" w:hanging="567"/>
        <w:jc w:val="both"/>
        <w:rPr>
          <w:rFonts w:ascii="Times New Roman" w:hAnsi="Times New Roman"/>
          <w:color w:val="000000"/>
          <w:szCs w:val="24"/>
          <w:lang w:val="en-GB"/>
        </w:rPr>
      </w:pPr>
    </w:p>
    <w:p w:rsidR="002B1F3F" w:rsidRPr="00091EC9" w:rsidRDefault="002B1F3F" w:rsidP="002B1F3F">
      <w:pPr>
        <w:pStyle w:val="BodyTextIndent2"/>
        <w:tabs>
          <w:tab w:val="left" w:pos="720"/>
          <w:tab w:val="left" w:pos="1134"/>
        </w:tabs>
        <w:spacing w:before="100" w:beforeAutospacing="1" w:after="100" w:afterAutospacing="1" w:line="276" w:lineRule="auto"/>
        <w:ind w:left="567" w:hanging="567"/>
        <w:jc w:val="both"/>
        <w:rPr>
          <w:rFonts w:ascii="Times New Roman" w:hAnsi="Times New Roman"/>
          <w:color w:val="000000"/>
          <w:szCs w:val="24"/>
          <w:lang w:val="en-GB"/>
        </w:rPr>
      </w:pPr>
    </w:p>
    <w:p w:rsidR="002B1F3F" w:rsidRPr="00091EC9" w:rsidRDefault="002B1F3F" w:rsidP="002B1F3F">
      <w:pPr>
        <w:pStyle w:val="Caption"/>
        <w:rPr>
          <w:rFonts w:ascii="Times New Roman" w:eastAsia="Times New Roman" w:hAnsi="Times New Roman"/>
          <w:b/>
          <w:color w:val="000000"/>
          <w:sz w:val="24"/>
          <w:szCs w:val="24"/>
          <w:lang w:val="en-GB"/>
        </w:rPr>
      </w:pPr>
      <w:r>
        <w:rPr>
          <w:rFonts w:ascii="Times New Roman" w:hAnsi="Times New Roman"/>
          <w:sz w:val="24"/>
          <w:szCs w:val="24"/>
        </w:rPr>
        <w:lastRenderedPageBreak/>
        <w:t xml:space="preserve">        </w:t>
      </w:r>
      <w:r w:rsidRPr="00091EC9">
        <w:rPr>
          <w:rFonts w:ascii="Times New Roman" w:hAnsi="Times New Roman"/>
          <w:b/>
          <w:sz w:val="24"/>
          <w:szCs w:val="24"/>
        </w:rPr>
        <w:t xml:space="preserve">Figure </w:t>
      </w:r>
      <w:r w:rsidRPr="00091EC9">
        <w:rPr>
          <w:rFonts w:ascii="Times New Roman" w:hAnsi="Times New Roman"/>
          <w:b/>
          <w:sz w:val="24"/>
          <w:szCs w:val="24"/>
        </w:rPr>
        <w:fldChar w:fldCharType="begin"/>
      </w:r>
      <w:r w:rsidRPr="00091EC9">
        <w:rPr>
          <w:rFonts w:ascii="Times New Roman" w:hAnsi="Times New Roman"/>
          <w:b/>
          <w:sz w:val="24"/>
          <w:szCs w:val="24"/>
        </w:rPr>
        <w:instrText xml:space="preserve"> SEQ Figure \* ARABIC </w:instrText>
      </w:r>
      <w:r w:rsidRPr="00091EC9">
        <w:rPr>
          <w:rFonts w:ascii="Times New Roman" w:hAnsi="Times New Roman"/>
          <w:b/>
          <w:sz w:val="24"/>
          <w:szCs w:val="24"/>
        </w:rPr>
        <w:fldChar w:fldCharType="separate"/>
      </w:r>
      <w:r w:rsidRPr="00091EC9">
        <w:rPr>
          <w:rFonts w:ascii="Times New Roman" w:hAnsi="Times New Roman"/>
          <w:b/>
          <w:noProof/>
          <w:sz w:val="24"/>
          <w:szCs w:val="24"/>
        </w:rPr>
        <w:t>1</w:t>
      </w:r>
      <w:r w:rsidRPr="00091EC9">
        <w:rPr>
          <w:rFonts w:ascii="Times New Roman" w:hAnsi="Times New Roman"/>
          <w:b/>
          <w:sz w:val="24"/>
          <w:szCs w:val="24"/>
        </w:rPr>
        <w:fldChar w:fldCharType="end"/>
      </w:r>
      <w:r w:rsidRPr="00091EC9">
        <w:rPr>
          <w:rFonts w:ascii="Times New Roman" w:hAnsi="Times New Roman"/>
          <w:b/>
          <w:sz w:val="24"/>
          <w:szCs w:val="24"/>
        </w:rPr>
        <w:t>:  Projects planned in Buffalo City Metro in 2021/22</w:t>
      </w:r>
    </w:p>
    <w:p w:rsidR="002B1F3F" w:rsidRPr="00091EC9" w:rsidRDefault="002B1F3F" w:rsidP="002B1F3F">
      <w:pPr>
        <w:pStyle w:val="BodyTextIndent2"/>
        <w:tabs>
          <w:tab w:val="left" w:pos="720"/>
          <w:tab w:val="left" w:pos="1134"/>
        </w:tabs>
        <w:spacing w:before="100" w:beforeAutospacing="1" w:after="100" w:afterAutospacing="1" w:line="276" w:lineRule="auto"/>
        <w:ind w:left="0"/>
        <w:jc w:val="both"/>
        <w:rPr>
          <w:rFonts w:ascii="Times New Roman" w:hAnsi="Times New Roman"/>
          <w:color w:val="000000"/>
          <w:szCs w:val="24"/>
          <w:lang w:val="en-GB"/>
        </w:rPr>
      </w:pPr>
      <w:r w:rsidRPr="00091EC9">
        <w:rPr>
          <w:rFonts w:ascii="Times New Roman" w:hAnsi="Times New Roman"/>
          <w:color w:val="000000"/>
          <w:szCs w:val="24"/>
          <w:lang w:val="en-GB"/>
        </w:rPr>
        <w:t xml:space="preserve">                 </w:t>
      </w:r>
      <w:r w:rsidR="005E68D0">
        <w:rPr>
          <w:rFonts w:ascii="Times New Roman" w:hAnsi="Times New Roman"/>
          <w:noProof/>
          <w:szCs w:val="24"/>
          <w:lang w:val="en-ZA" w:eastAsia="en-ZA"/>
        </w:rPr>
        <w:drawing>
          <wp:inline distT="0" distB="0" distL="0" distR="0">
            <wp:extent cx="5438775" cy="293370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438775" cy="2933700"/>
                    </a:xfrm>
                    <a:prstGeom prst="rect">
                      <a:avLst/>
                    </a:prstGeom>
                    <a:noFill/>
                    <a:ln w="9525">
                      <a:noFill/>
                      <a:miter lim="800000"/>
                      <a:headEnd/>
                      <a:tailEnd/>
                    </a:ln>
                  </pic:spPr>
                </pic:pic>
              </a:graphicData>
            </a:graphic>
          </wp:inline>
        </w:drawing>
      </w:r>
    </w:p>
    <w:p w:rsidR="002B1F3F" w:rsidRPr="00091EC9" w:rsidRDefault="002B1F3F" w:rsidP="002B1F3F">
      <w:pPr>
        <w:pStyle w:val="BodyTextIndent2"/>
        <w:tabs>
          <w:tab w:val="left" w:pos="720"/>
          <w:tab w:val="left" w:pos="1134"/>
        </w:tabs>
        <w:spacing w:before="100" w:beforeAutospacing="1" w:after="100" w:afterAutospacing="1" w:line="276" w:lineRule="auto"/>
        <w:jc w:val="both"/>
        <w:rPr>
          <w:rFonts w:ascii="Times New Roman" w:hAnsi="Times New Roman"/>
          <w:color w:val="000000"/>
          <w:szCs w:val="24"/>
          <w:lang w:val="en-GB"/>
        </w:rPr>
      </w:pPr>
    </w:p>
    <w:p w:rsidR="002B1F3F" w:rsidRPr="00091EC9" w:rsidRDefault="002B1F3F" w:rsidP="002B1F3F">
      <w:pPr>
        <w:pStyle w:val="Caption"/>
        <w:tabs>
          <w:tab w:val="left" w:pos="851"/>
          <w:tab w:val="left" w:pos="993"/>
        </w:tabs>
        <w:rPr>
          <w:rFonts w:ascii="Times New Roman" w:hAnsi="Times New Roman"/>
          <w:b/>
          <w:i w:val="0"/>
          <w:color w:val="auto"/>
          <w:sz w:val="24"/>
          <w:szCs w:val="24"/>
        </w:rPr>
      </w:pPr>
      <w:r w:rsidRPr="00091EC9">
        <w:rPr>
          <w:rFonts w:ascii="Times New Roman" w:eastAsia="Times New Roman" w:hAnsi="Times New Roman"/>
          <w:i w:val="0"/>
          <w:color w:val="000000"/>
          <w:sz w:val="24"/>
          <w:szCs w:val="24"/>
          <w:lang w:val="en-GB"/>
        </w:rPr>
        <w:t xml:space="preserve">      (ii)     </w:t>
      </w:r>
      <w:r w:rsidRPr="00091EC9">
        <w:rPr>
          <w:rFonts w:ascii="Times New Roman" w:hAnsi="Times New Roman"/>
          <w:b/>
          <w:i w:val="0"/>
          <w:color w:val="auto"/>
          <w:sz w:val="24"/>
          <w:szCs w:val="24"/>
        </w:rPr>
        <w:t>PROPOSED PROJECTS FOR THE 2022/23 FINANCIAL YEAR IN BUFALLO</w:t>
      </w:r>
    </w:p>
    <w:p w:rsidR="002B1F3F" w:rsidRPr="00091EC9" w:rsidRDefault="002B1F3F" w:rsidP="002B1F3F">
      <w:pPr>
        <w:pStyle w:val="Caption"/>
        <w:tabs>
          <w:tab w:val="left" w:pos="993"/>
        </w:tabs>
        <w:ind w:left="567"/>
        <w:rPr>
          <w:rFonts w:ascii="Times New Roman" w:eastAsia="Times New Roman" w:hAnsi="Times New Roman"/>
          <w:i w:val="0"/>
          <w:color w:val="auto"/>
          <w:sz w:val="24"/>
          <w:szCs w:val="24"/>
          <w:lang w:val="en-GB"/>
        </w:rPr>
      </w:pPr>
      <w:r w:rsidRPr="00091EC9">
        <w:rPr>
          <w:rFonts w:ascii="Times New Roman" w:eastAsia="Times New Roman" w:hAnsi="Times New Roman"/>
          <w:i w:val="0"/>
          <w:color w:val="auto"/>
          <w:sz w:val="24"/>
          <w:szCs w:val="24"/>
          <w:lang w:val="en-GB"/>
        </w:rPr>
        <w:t xml:space="preserve">     </w:t>
      </w:r>
      <w:r w:rsidRPr="00091EC9">
        <w:rPr>
          <w:rFonts w:ascii="Times New Roman" w:hAnsi="Times New Roman"/>
          <w:b/>
          <w:i w:val="0"/>
          <w:color w:val="auto"/>
          <w:sz w:val="24"/>
          <w:szCs w:val="24"/>
        </w:rPr>
        <w:t xml:space="preserve">  CITY METRO</w:t>
      </w:r>
    </w:p>
    <w:p w:rsidR="002B1F3F" w:rsidRPr="00091EC9" w:rsidRDefault="002B1F3F" w:rsidP="002B1F3F">
      <w:pPr>
        <w:pStyle w:val="Caption"/>
        <w:tabs>
          <w:tab w:val="left" w:pos="993"/>
        </w:tabs>
        <w:rPr>
          <w:rFonts w:ascii="Times New Roman" w:hAnsi="Times New Roman"/>
          <w:b/>
          <w:sz w:val="24"/>
          <w:szCs w:val="24"/>
        </w:rPr>
      </w:pPr>
      <w:r w:rsidRPr="00091EC9">
        <w:rPr>
          <w:rFonts w:ascii="Times New Roman" w:hAnsi="Times New Roman"/>
          <w:sz w:val="24"/>
          <w:szCs w:val="24"/>
        </w:rPr>
        <w:t xml:space="preserve">              </w:t>
      </w:r>
      <w:r>
        <w:rPr>
          <w:rFonts w:ascii="Times New Roman" w:hAnsi="Times New Roman"/>
          <w:sz w:val="24"/>
          <w:szCs w:val="24"/>
        </w:rPr>
        <w:t xml:space="preserve">  </w:t>
      </w:r>
      <w:r w:rsidRPr="00091EC9">
        <w:rPr>
          <w:rFonts w:ascii="Times New Roman" w:hAnsi="Times New Roman"/>
          <w:b/>
          <w:sz w:val="24"/>
          <w:szCs w:val="24"/>
        </w:rPr>
        <w:t xml:space="preserve">Figure </w:t>
      </w:r>
      <w:r w:rsidRPr="00091EC9">
        <w:rPr>
          <w:rFonts w:ascii="Times New Roman" w:hAnsi="Times New Roman"/>
          <w:b/>
          <w:sz w:val="24"/>
          <w:szCs w:val="24"/>
        </w:rPr>
        <w:fldChar w:fldCharType="begin"/>
      </w:r>
      <w:r w:rsidRPr="00091EC9">
        <w:rPr>
          <w:rFonts w:ascii="Times New Roman" w:hAnsi="Times New Roman"/>
          <w:b/>
          <w:sz w:val="24"/>
          <w:szCs w:val="24"/>
        </w:rPr>
        <w:instrText xml:space="preserve"> SEQ Figure \* ARABIC </w:instrText>
      </w:r>
      <w:r w:rsidRPr="00091EC9">
        <w:rPr>
          <w:rFonts w:ascii="Times New Roman" w:hAnsi="Times New Roman"/>
          <w:b/>
          <w:sz w:val="24"/>
          <w:szCs w:val="24"/>
        </w:rPr>
        <w:fldChar w:fldCharType="separate"/>
      </w:r>
      <w:r w:rsidRPr="00091EC9">
        <w:rPr>
          <w:rFonts w:ascii="Times New Roman" w:hAnsi="Times New Roman"/>
          <w:b/>
          <w:noProof/>
          <w:sz w:val="24"/>
          <w:szCs w:val="24"/>
        </w:rPr>
        <w:t>2</w:t>
      </w:r>
      <w:r w:rsidRPr="00091EC9">
        <w:rPr>
          <w:rFonts w:ascii="Times New Roman" w:hAnsi="Times New Roman"/>
          <w:b/>
          <w:sz w:val="24"/>
          <w:szCs w:val="24"/>
        </w:rPr>
        <w:fldChar w:fldCharType="end"/>
      </w:r>
      <w:r w:rsidRPr="00091EC9">
        <w:rPr>
          <w:rFonts w:ascii="Times New Roman" w:hAnsi="Times New Roman"/>
          <w:b/>
          <w:sz w:val="24"/>
          <w:szCs w:val="24"/>
        </w:rPr>
        <w:t>: Proposed Projects for the 2022/23 financial year in BCM</w:t>
      </w:r>
    </w:p>
    <w:p w:rsidR="002B1F3F" w:rsidRPr="00091EC9" w:rsidRDefault="002B1F3F" w:rsidP="002B1F3F">
      <w:pPr>
        <w:pStyle w:val="BodyTextIndent2"/>
        <w:tabs>
          <w:tab w:val="left" w:pos="720"/>
          <w:tab w:val="left" w:pos="1134"/>
        </w:tabs>
        <w:spacing w:before="100" w:beforeAutospacing="1" w:after="100" w:afterAutospacing="1" w:line="276" w:lineRule="auto"/>
        <w:jc w:val="both"/>
        <w:rPr>
          <w:rFonts w:ascii="Times New Roman" w:hAnsi="Times New Roman"/>
          <w:color w:val="000000"/>
          <w:szCs w:val="24"/>
          <w:lang w:val="en-GB"/>
        </w:rPr>
      </w:pPr>
      <w:r w:rsidRPr="00091EC9">
        <w:rPr>
          <w:rFonts w:ascii="Times New Roman" w:hAnsi="Times New Roman"/>
          <w:color w:val="000000"/>
          <w:szCs w:val="24"/>
          <w:lang w:val="en-GB"/>
        </w:rPr>
        <w:t xml:space="preserve">            </w:t>
      </w:r>
      <w:r w:rsidR="005E68D0">
        <w:rPr>
          <w:rFonts w:ascii="Times New Roman" w:hAnsi="Times New Roman"/>
          <w:noProof/>
          <w:szCs w:val="24"/>
          <w:lang w:val="en-ZA" w:eastAsia="en-ZA"/>
        </w:rPr>
        <w:drawing>
          <wp:inline distT="0" distB="0" distL="0" distR="0">
            <wp:extent cx="5505450" cy="23145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505450" cy="2314575"/>
                    </a:xfrm>
                    <a:prstGeom prst="rect">
                      <a:avLst/>
                    </a:prstGeom>
                    <a:noFill/>
                    <a:ln w="9525">
                      <a:noFill/>
                      <a:miter lim="800000"/>
                      <a:headEnd/>
                      <a:tailEnd/>
                    </a:ln>
                  </pic:spPr>
                </pic:pic>
              </a:graphicData>
            </a:graphic>
          </wp:inline>
        </w:drawing>
      </w:r>
    </w:p>
    <w:p w:rsidR="002B1F3F" w:rsidRPr="00091EC9" w:rsidRDefault="002B1F3F" w:rsidP="002B1F3F">
      <w:pPr>
        <w:pStyle w:val="BodyTextIndent2"/>
        <w:tabs>
          <w:tab w:val="left" w:pos="720"/>
          <w:tab w:val="left" w:pos="993"/>
        </w:tabs>
        <w:spacing w:before="100" w:beforeAutospacing="1" w:after="100" w:afterAutospacing="1" w:line="276" w:lineRule="auto"/>
        <w:ind w:hanging="720"/>
        <w:jc w:val="both"/>
        <w:rPr>
          <w:rFonts w:ascii="Times New Roman" w:hAnsi="Times New Roman"/>
          <w:szCs w:val="24"/>
        </w:rPr>
      </w:pPr>
      <w:r w:rsidRPr="00091EC9">
        <w:rPr>
          <w:rFonts w:ascii="Times New Roman" w:hAnsi="Times New Roman"/>
          <w:szCs w:val="24"/>
        </w:rPr>
        <w:t xml:space="preserve">(iii)  </w:t>
      </w:r>
      <w:r w:rsidRPr="00091EC9">
        <w:rPr>
          <w:rFonts w:ascii="Times New Roman" w:hAnsi="Times New Roman"/>
          <w:szCs w:val="24"/>
        </w:rPr>
        <w:tab/>
        <w:t>In respect of the 2023/24 financial year (April 2023 to March 2024), Information in the Eastern Cape HSDG Business Plan indicates that Projects for houses and serviced sites are proposed, but not yet approved, for the following geographic areas within Buffalo City Metro:</w:t>
      </w:r>
    </w:p>
    <w:p w:rsidR="002B1F3F" w:rsidRPr="00091EC9" w:rsidRDefault="002B1F3F" w:rsidP="002B1F3F">
      <w:pPr>
        <w:pStyle w:val="Caption"/>
        <w:rPr>
          <w:rFonts w:ascii="Times New Roman" w:eastAsia="Times New Roman" w:hAnsi="Times New Roman"/>
          <w:b/>
          <w:color w:val="000000"/>
          <w:sz w:val="24"/>
          <w:szCs w:val="24"/>
          <w:lang w:val="en-GB"/>
        </w:rPr>
      </w:pPr>
      <w:r>
        <w:rPr>
          <w:rFonts w:ascii="Times New Roman" w:hAnsi="Times New Roman"/>
          <w:sz w:val="24"/>
          <w:szCs w:val="24"/>
        </w:rPr>
        <w:lastRenderedPageBreak/>
        <w:t xml:space="preserve">            </w:t>
      </w:r>
      <w:r w:rsidRPr="00091EC9">
        <w:rPr>
          <w:rFonts w:ascii="Times New Roman" w:hAnsi="Times New Roman"/>
          <w:b/>
          <w:sz w:val="24"/>
          <w:szCs w:val="24"/>
        </w:rPr>
        <w:t xml:space="preserve">Figure </w:t>
      </w:r>
      <w:r w:rsidRPr="00091EC9">
        <w:rPr>
          <w:rFonts w:ascii="Times New Roman" w:hAnsi="Times New Roman"/>
          <w:b/>
          <w:sz w:val="24"/>
          <w:szCs w:val="24"/>
        </w:rPr>
        <w:fldChar w:fldCharType="begin"/>
      </w:r>
      <w:r w:rsidRPr="00091EC9">
        <w:rPr>
          <w:rFonts w:ascii="Times New Roman" w:hAnsi="Times New Roman"/>
          <w:b/>
          <w:sz w:val="24"/>
          <w:szCs w:val="24"/>
        </w:rPr>
        <w:instrText xml:space="preserve"> SEQ Figure \* ARABIC </w:instrText>
      </w:r>
      <w:r w:rsidRPr="00091EC9">
        <w:rPr>
          <w:rFonts w:ascii="Times New Roman" w:hAnsi="Times New Roman"/>
          <w:b/>
          <w:sz w:val="24"/>
          <w:szCs w:val="24"/>
        </w:rPr>
        <w:fldChar w:fldCharType="separate"/>
      </w:r>
      <w:r w:rsidRPr="00091EC9">
        <w:rPr>
          <w:rFonts w:ascii="Times New Roman" w:hAnsi="Times New Roman"/>
          <w:b/>
          <w:noProof/>
          <w:sz w:val="24"/>
          <w:szCs w:val="24"/>
        </w:rPr>
        <w:t>3</w:t>
      </w:r>
      <w:r w:rsidRPr="00091EC9">
        <w:rPr>
          <w:rFonts w:ascii="Times New Roman" w:hAnsi="Times New Roman"/>
          <w:b/>
          <w:sz w:val="24"/>
          <w:szCs w:val="24"/>
        </w:rPr>
        <w:fldChar w:fldCharType="end"/>
      </w:r>
      <w:r w:rsidRPr="00091EC9">
        <w:rPr>
          <w:rFonts w:ascii="Times New Roman" w:hAnsi="Times New Roman"/>
          <w:b/>
          <w:sz w:val="24"/>
          <w:szCs w:val="24"/>
        </w:rPr>
        <w:t>: Proposed Projects for 2023/24 financial year in BCM</w:t>
      </w:r>
    </w:p>
    <w:p w:rsidR="002B1F3F" w:rsidRPr="00091EC9" w:rsidRDefault="002B1F3F" w:rsidP="002B1F3F">
      <w:pPr>
        <w:pStyle w:val="BodyTextIndent2"/>
        <w:tabs>
          <w:tab w:val="left" w:pos="720"/>
        </w:tabs>
        <w:spacing w:before="100" w:beforeAutospacing="1" w:after="100" w:afterAutospacing="1" w:line="276" w:lineRule="auto"/>
        <w:jc w:val="both"/>
        <w:rPr>
          <w:rFonts w:ascii="Times New Roman" w:hAnsi="Times New Roman"/>
          <w:color w:val="000000"/>
          <w:szCs w:val="24"/>
          <w:lang w:val="en-GB"/>
        </w:rPr>
      </w:pPr>
      <w:r w:rsidRPr="00091EC9">
        <w:rPr>
          <w:rFonts w:ascii="Times New Roman" w:hAnsi="Times New Roman"/>
          <w:color w:val="000000"/>
          <w:szCs w:val="24"/>
          <w:lang w:val="en-GB"/>
        </w:rPr>
        <w:t xml:space="preserve">          </w:t>
      </w:r>
      <w:r w:rsidR="005E68D0">
        <w:rPr>
          <w:rFonts w:ascii="Times New Roman" w:hAnsi="Times New Roman"/>
          <w:noProof/>
          <w:szCs w:val="24"/>
          <w:lang w:val="en-ZA" w:eastAsia="en-ZA"/>
        </w:rPr>
        <w:drawing>
          <wp:inline distT="0" distB="0" distL="0" distR="0">
            <wp:extent cx="5610225" cy="2409825"/>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610225" cy="2409825"/>
                    </a:xfrm>
                    <a:prstGeom prst="rect">
                      <a:avLst/>
                    </a:prstGeom>
                    <a:noFill/>
                    <a:ln w="9525">
                      <a:noFill/>
                      <a:miter lim="800000"/>
                      <a:headEnd/>
                      <a:tailEnd/>
                    </a:ln>
                  </pic:spPr>
                </pic:pic>
              </a:graphicData>
            </a:graphic>
          </wp:inline>
        </w:drawing>
      </w:r>
    </w:p>
    <w:p w:rsidR="002B1F3F" w:rsidRPr="00091EC9" w:rsidRDefault="002B1F3F" w:rsidP="002B1F3F">
      <w:pPr>
        <w:ind w:left="2160" w:firstLine="720"/>
        <w:rPr>
          <w:b/>
          <w:sz w:val="24"/>
          <w:szCs w:val="24"/>
        </w:rPr>
      </w:pPr>
    </w:p>
    <w:p w:rsidR="002B1F3F" w:rsidRPr="00091EC9" w:rsidRDefault="002B1F3F" w:rsidP="002B1F3F">
      <w:pPr>
        <w:ind w:left="426"/>
        <w:rPr>
          <w:b/>
          <w:sz w:val="24"/>
          <w:szCs w:val="24"/>
        </w:rPr>
      </w:pPr>
    </w:p>
    <w:p w:rsidR="002B1F3F" w:rsidRPr="00091EC9" w:rsidRDefault="002B1F3F" w:rsidP="002B1F3F">
      <w:pPr>
        <w:ind w:left="720" w:hanging="720"/>
        <w:jc w:val="both"/>
        <w:rPr>
          <w:sz w:val="24"/>
          <w:szCs w:val="24"/>
        </w:rPr>
      </w:pPr>
      <w:r>
        <w:rPr>
          <w:sz w:val="24"/>
          <w:szCs w:val="24"/>
        </w:rPr>
        <w:t>(2)</w:t>
      </w:r>
      <w:r>
        <w:rPr>
          <w:sz w:val="24"/>
          <w:szCs w:val="24"/>
        </w:rPr>
        <w:tab/>
      </w:r>
      <w:r w:rsidRPr="00091EC9">
        <w:rPr>
          <w:sz w:val="24"/>
          <w:szCs w:val="24"/>
        </w:rPr>
        <w:t>Blue cards have been replaced nationally by the National Housing Needs</w:t>
      </w:r>
      <w:r>
        <w:rPr>
          <w:sz w:val="24"/>
          <w:szCs w:val="24"/>
        </w:rPr>
        <w:t xml:space="preserve"> </w:t>
      </w:r>
      <w:r w:rsidRPr="00091EC9">
        <w:rPr>
          <w:sz w:val="24"/>
          <w:szCs w:val="24"/>
        </w:rPr>
        <w:t>Register</w:t>
      </w:r>
      <w:r>
        <w:rPr>
          <w:sz w:val="24"/>
          <w:szCs w:val="24"/>
        </w:rPr>
        <w:t xml:space="preserve"> and it is accessible to </w:t>
      </w:r>
      <w:r w:rsidRPr="00091EC9">
        <w:rPr>
          <w:sz w:val="24"/>
          <w:szCs w:val="24"/>
        </w:rPr>
        <w:t>all Municipalities</w:t>
      </w:r>
      <w:r>
        <w:rPr>
          <w:sz w:val="24"/>
          <w:szCs w:val="24"/>
        </w:rPr>
        <w:t xml:space="preserve">. </w:t>
      </w:r>
    </w:p>
    <w:p w:rsidR="002B1F3F" w:rsidRPr="002918DC" w:rsidRDefault="002B1F3F" w:rsidP="002B1F3F">
      <w:pPr>
        <w:ind w:left="2160" w:firstLine="720"/>
        <w:rPr>
          <w:rFonts w:ascii="Arial" w:hAnsi="Arial" w:cs="Arial"/>
          <w:b/>
          <w:sz w:val="24"/>
          <w:szCs w:val="24"/>
        </w:rPr>
      </w:pPr>
    </w:p>
    <w:p w:rsidR="002B1F3F" w:rsidRPr="002918DC" w:rsidRDefault="002B1F3F" w:rsidP="002B1F3F">
      <w:pPr>
        <w:ind w:left="2160" w:firstLine="720"/>
        <w:rPr>
          <w:rFonts w:ascii="Arial" w:hAnsi="Arial" w:cs="Arial"/>
          <w:b/>
          <w:sz w:val="24"/>
          <w:szCs w:val="24"/>
        </w:rPr>
      </w:pPr>
    </w:p>
    <w:p w:rsidR="002B1F3F" w:rsidRPr="00091EC9" w:rsidRDefault="002B1F3F" w:rsidP="002B1F3F">
      <w:pPr>
        <w:spacing w:line="320" w:lineRule="exact"/>
        <w:ind w:left="720" w:hanging="720"/>
        <w:jc w:val="both"/>
        <w:rPr>
          <w:sz w:val="24"/>
          <w:szCs w:val="24"/>
        </w:rPr>
      </w:pPr>
    </w:p>
    <w:p w:rsidR="002B1F3F" w:rsidRDefault="002B1F3F" w:rsidP="002B1F3F">
      <w:pPr>
        <w:spacing w:line="320" w:lineRule="exact"/>
        <w:ind w:left="720" w:hanging="720"/>
        <w:jc w:val="both"/>
        <w:rPr>
          <w:b/>
          <w:sz w:val="24"/>
          <w:szCs w:val="24"/>
        </w:rPr>
      </w:pPr>
    </w:p>
    <w:p w:rsidR="002B1F3F" w:rsidRDefault="002B1F3F" w:rsidP="002B1F3F">
      <w:pPr>
        <w:spacing w:line="320" w:lineRule="exact"/>
        <w:ind w:left="720" w:hanging="720"/>
        <w:jc w:val="both"/>
        <w:rPr>
          <w:b/>
          <w:sz w:val="24"/>
          <w:szCs w:val="24"/>
        </w:rPr>
      </w:pPr>
    </w:p>
    <w:p w:rsidR="00877810" w:rsidRDefault="00877810" w:rsidP="002B1F3F">
      <w:pPr>
        <w:pStyle w:val="BodyTextIndent2"/>
        <w:tabs>
          <w:tab w:val="left" w:pos="567"/>
          <w:tab w:val="left" w:pos="851"/>
          <w:tab w:val="left" w:pos="1276"/>
        </w:tabs>
        <w:spacing w:before="100" w:beforeAutospacing="1" w:after="100" w:afterAutospacing="1" w:line="276" w:lineRule="auto"/>
        <w:ind w:left="567" w:hanging="567"/>
        <w:jc w:val="both"/>
        <w:rPr>
          <w:b/>
          <w:szCs w:val="24"/>
        </w:rPr>
      </w:pPr>
    </w:p>
    <w:sectPr w:rsidR="00877810" w:rsidSect="00652ECC">
      <w:headerReference w:type="default" r:id="rId11"/>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4E" w:rsidRDefault="00AD524E" w:rsidP="00054FEC">
      <w:r>
        <w:separator/>
      </w:r>
    </w:p>
  </w:endnote>
  <w:endnote w:type="continuationSeparator" w:id="0">
    <w:p w:rsidR="00AD524E" w:rsidRDefault="00AD524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4E" w:rsidRDefault="00AD524E" w:rsidP="00054FEC">
      <w:r>
        <w:separator/>
      </w:r>
    </w:p>
  </w:footnote>
  <w:footnote w:type="continuationSeparator" w:id="0">
    <w:p w:rsidR="00AD524E" w:rsidRDefault="00AD524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E1060B">
      <w:t>3</w:t>
    </w:r>
    <w:r w:rsidR="00077912">
      <w:t>53</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4">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0"/>
  </w:num>
  <w:num w:numId="8">
    <w:abstractNumId w:val="9"/>
  </w:num>
  <w:num w:numId="9">
    <w:abstractNumId w:val="13"/>
  </w:num>
  <w:num w:numId="10">
    <w:abstractNumId w:val="5"/>
  </w:num>
  <w:num w:numId="11">
    <w:abstractNumId w:val="3"/>
  </w:num>
  <w:num w:numId="12">
    <w:abstractNumId w:val="17"/>
  </w:num>
  <w:num w:numId="13">
    <w:abstractNumId w:val="2"/>
  </w:num>
  <w:num w:numId="14">
    <w:abstractNumId w:val="4"/>
  </w:num>
  <w:num w:numId="15">
    <w:abstractNumId w:val="14"/>
  </w:num>
  <w:num w:numId="16">
    <w:abstractNumId w:val="6"/>
  </w:num>
  <w:num w:numId="17">
    <w:abstractNumId w:val="7"/>
  </w:num>
  <w:num w:numId="18">
    <w:abstractNumId w:val="12"/>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7912"/>
    <w:rsid w:val="00084A46"/>
    <w:rsid w:val="00085A2A"/>
    <w:rsid w:val="000874C5"/>
    <w:rsid w:val="00091EC9"/>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55D"/>
    <w:rsid w:val="00273F15"/>
    <w:rsid w:val="002901FA"/>
    <w:rsid w:val="002922CE"/>
    <w:rsid w:val="002923CB"/>
    <w:rsid w:val="002962EB"/>
    <w:rsid w:val="0029651C"/>
    <w:rsid w:val="00297F06"/>
    <w:rsid w:val="002A580A"/>
    <w:rsid w:val="002B1F3F"/>
    <w:rsid w:val="002B7025"/>
    <w:rsid w:val="002B7A01"/>
    <w:rsid w:val="002D3BB8"/>
    <w:rsid w:val="002E18F1"/>
    <w:rsid w:val="002E39B0"/>
    <w:rsid w:val="002E4E48"/>
    <w:rsid w:val="002F729C"/>
    <w:rsid w:val="002F7976"/>
    <w:rsid w:val="00301762"/>
    <w:rsid w:val="003225B0"/>
    <w:rsid w:val="00323C61"/>
    <w:rsid w:val="00326ADE"/>
    <w:rsid w:val="00332EDA"/>
    <w:rsid w:val="00333798"/>
    <w:rsid w:val="003500A3"/>
    <w:rsid w:val="00351776"/>
    <w:rsid w:val="00360151"/>
    <w:rsid w:val="003639EF"/>
    <w:rsid w:val="003658A1"/>
    <w:rsid w:val="00370246"/>
    <w:rsid w:val="00371AFD"/>
    <w:rsid w:val="00386EBC"/>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8D0"/>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D524E"/>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67CE4"/>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4190"/>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6A0"/>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B712B"/>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 w:type="paragraph" w:styleId="Caption">
    <w:name w:val="caption"/>
    <w:basedOn w:val="Normal"/>
    <w:next w:val="Normal"/>
    <w:uiPriority w:val="35"/>
    <w:unhideWhenUsed/>
    <w:qFormat/>
    <w:rsid w:val="00091EC9"/>
    <w:pPr>
      <w:spacing w:after="200"/>
    </w:pPr>
    <w:rPr>
      <w:rFonts w:ascii="Calibri" w:eastAsia="Calibri" w:hAnsi="Calibri"/>
      <w:i/>
      <w:iCs/>
      <w:color w:val="44546A"/>
      <w:sz w:val="18"/>
      <w:szCs w:val="18"/>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2021-06-07T13:48:00Z</dcterms:created>
  <dcterms:modified xsi:type="dcterms:W3CDTF">2021-06-07T13:48:00Z</dcterms:modified>
</cp:coreProperties>
</file>