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C" w:rsidRDefault="008E5718">
      <w:pPr>
        <w:pStyle w:val="Heading1"/>
        <w:spacing w:before="67"/>
        <w:ind w:left="3877" w:right="4032"/>
        <w:jc w:val="center"/>
        <w:rPr>
          <w:u w:val="none"/>
        </w:rPr>
      </w:pPr>
      <w:r>
        <w:rPr>
          <w:u w:val="thick"/>
        </w:rPr>
        <w:t>NATIONAL ASSEMBLY</w:t>
      </w:r>
    </w:p>
    <w:p w:rsidR="00701B7C" w:rsidRDefault="00701B7C">
      <w:pPr>
        <w:pStyle w:val="BodyText"/>
        <w:spacing w:before="11"/>
        <w:rPr>
          <w:b/>
          <w:sz w:val="15"/>
        </w:rPr>
      </w:pPr>
    </w:p>
    <w:p w:rsidR="00701B7C" w:rsidRDefault="008E5718">
      <w:pPr>
        <w:spacing w:before="92"/>
        <w:ind w:left="112"/>
        <w:rPr>
          <w:b/>
          <w:sz w:val="24"/>
        </w:rPr>
      </w:pPr>
      <w:r>
        <w:rPr>
          <w:b/>
          <w:sz w:val="24"/>
          <w:u w:val="thick"/>
        </w:rPr>
        <w:t>FOR WRITTEN REPLY</w:t>
      </w:r>
    </w:p>
    <w:p w:rsidR="00701B7C" w:rsidRDefault="00701B7C">
      <w:pPr>
        <w:pStyle w:val="BodyText"/>
        <w:rPr>
          <w:b/>
          <w:sz w:val="16"/>
        </w:rPr>
      </w:pPr>
    </w:p>
    <w:p w:rsidR="00701B7C" w:rsidRDefault="008E5718">
      <w:pPr>
        <w:spacing w:before="93"/>
        <w:ind w:left="112"/>
        <w:rPr>
          <w:b/>
          <w:sz w:val="24"/>
        </w:rPr>
      </w:pPr>
      <w:r>
        <w:rPr>
          <w:b/>
          <w:sz w:val="24"/>
          <w:u w:val="thick"/>
        </w:rPr>
        <w:t>QUESTION NO. 1350</w:t>
      </w:r>
    </w:p>
    <w:p w:rsidR="00701B7C" w:rsidRDefault="00701B7C">
      <w:pPr>
        <w:pStyle w:val="BodyText"/>
        <w:spacing w:before="11"/>
        <w:rPr>
          <w:b/>
          <w:sz w:val="15"/>
        </w:rPr>
      </w:pPr>
    </w:p>
    <w:p w:rsidR="00701B7C" w:rsidRDefault="008E5718">
      <w:pPr>
        <w:spacing w:before="92"/>
        <w:ind w:left="112" w:right="1617"/>
        <w:rPr>
          <w:b/>
          <w:sz w:val="24"/>
        </w:rPr>
      </w:pPr>
      <w:r>
        <w:rPr>
          <w:b/>
          <w:sz w:val="24"/>
          <w:u w:val="thick"/>
        </w:rPr>
        <w:t>DATE OF PUBLICATION IN INTERNAL QUESTION PAPER: 25 OCTOBER 2019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(INTERNAL QUESTION PAPER NO. 22)</w:t>
      </w:r>
    </w:p>
    <w:p w:rsidR="00701B7C" w:rsidRDefault="00701B7C">
      <w:pPr>
        <w:pStyle w:val="BodyText"/>
        <w:spacing w:before="2"/>
        <w:rPr>
          <w:b/>
          <w:sz w:val="16"/>
        </w:rPr>
      </w:pPr>
    </w:p>
    <w:p w:rsidR="00701B7C" w:rsidRDefault="008E5718">
      <w:pPr>
        <w:spacing w:before="93"/>
        <w:ind w:left="112"/>
        <w:rPr>
          <w:b/>
          <w:sz w:val="24"/>
        </w:rPr>
      </w:pPr>
      <w:r>
        <w:rPr>
          <w:b/>
          <w:sz w:val="24"/>
          <w:u w:val="thick"/>
        </w:rPr>
        <w:t xml:space="preserve">Ms S </w:t>
      </w:r>
      <w:proofErr w:type="spellStart"/>
      <w:r>
        <w:rPr>
          <w:b/>
          <w:sz w:val="24"/>
          <w:u w:val="thick"/>
        </w:rPr>
        <w:t>Gwarube</w:t>
      </w:r>
      <w:proofErr w:type="spellEnd"/>
      <w:r>
        <w:rPr>
          <w:b/>
          <w:sz w:val="24"/>
          <w:u w:val="thick"/>
        </w:rPr>
        <w:t xml:space="preserve"> (DA) to ask the Minister of Health:</w:t>
      </w:r>
    </w:p>
    <w:p w:rsidR="00701B7C" w:rsidRDefault="00701B7C">
      <w:pPr>
        <w:pStyle w:val="BodyText"/>
        <w:spacing w:before="4"/>
        <w:rPr>
          <w:b/>
          <w:sz w:val="16"/>
        </w:rPr>
      </w:pPr>
    </w:p>
    <w:p w:rsidR="00701B7C" w:rsidRDefault="008E5718">
      <w:pPr>
        <w:pStyle w:val="BodyText"/>
        <w:spacing w:before="92"/>
        <w:ind w:left="112"/>
      </w:pPr>
      <w:r>
        <w:t>What is the current total number of (a) funded positions and (b) vacant funded positions in the public health sector in each (</w:t>
      </w:r>
      <w:proofErr w:type="spellStart"/>
      <w:r>
        <w:t>i</w:t>
      </w:r>
      <w:proofErr w:type="spellEnd"/>
      <w:r>
        <w:t>) province, (ii) health category or specialty and (iii) health facility?</w:t>
      </w:r>
    </w:p>
    <w:p w:rsidR="00701B7C" w:rsidRDefault="00701B7C">
      <w:pPr>
        <w:pStyle w:val="BodyText"/>
        <w:spacing w:before="2"/>
      </w:pPr>
    </w:p>
    <w:p w:rsidR="00701B7C" w:rsidRDefault="008E5718">
      <w:pPr>
        <w:spacing w:before="1"/>
        <w:ind w:right="264"/>
        <w:jc w:val="right"/>
        <w:rPr>
          <w:b/>
          <w:sz w:val="12"/>
        </w:rPr>
      </w:pPr>
      <w:r>
        <w:rPr>
          <w:b/>
          <w:sz w:val="12"/>
        </w:rPr>
        <w:t>NW2563E</w:t>
      </w:r>
    </w:p>
    <w:p w:rsidR="00701B7C" w:rsidRDefault="00701B7C">
      <w:pPr>
        <w:pStyle w:val="BodyText"/>
        <w:rPr>
          <w:b/>
          <w:sz w:val="12"/>
        </w:rPr>
      </w:pPr>
    </w:p>
    <w:p w:rsidR="00701B7C" w:rsidRDefault="00701B7C">
      <w:pPr>
        <w:pStyle w:val="BodyText"/>
        <w:spacing w:before="6"/>
        <w:rPr>
          <w:b/>
          <w:sz w:val="12"/>
        </w:rPr>
      </w:pPr>
    </w:p>
    <w:p w:rsidR="00701B7C" w:rsidRDefault="008E5718">
      <w:pPr>
        <w:pStyle w:val="Heading1"/>
        <w:spacing w:before="0"/>
        <w:rPr>
          <w:u w:val="none"/>
        </w:rPr>
      </w:pPr>
      <w:r>
        <w:rPr>
          <w:u w:val="thick"/>
        </w:rPr>
        <w:t>REPLY:</w:t>
      </w:r>
    </w:p>
    <w:p w:rsidR="00701B7C" w:rsidRDefault="00701B7C">
      <w:pPr>
        <w:pStyle w:val="BodyText"/>
        <w:spacing w:before="5"/>
        <w:rPr>
          <w:b/>
          <w:sz w:val="16"/>
        </w:rPr>
      </w:pPr>
    </w:p>
    <w:p w:rsidR="00701B7C" w:rsidRDefault="008E5718">
      <w:pPr>
        <w:pStyle w:val="BodyText"/>
        <w:spacing w:before="92" w:line="276" w:lineRule="auto"/>
        <w:ind w:left="112" w:right="266"/>
        <w:jc w:val="both"/>
      </w:pPr>
      <w:r>
        <w:t>The table attached indicates a summary of (a) funded filled positions and (b) vacant funded positions in the public health sector in each (</w:t>
      </w:r>
      <w:proofErr w:type="spellStart"/>
      <w:r>
        <w:t>i</w:t>
      </w:r>
      <w:proofErr w:type="spellEnd"/>
      <w:r>
        <w:t xml:space="preserve">) province, (ii) and for all health categories or </w:t>
      </w:r>
      <w:proofErr w:type="spellStart"/>
      <w:r>
        <w:t>specialities</w:t>
      </w:r>
      <w:proofErr w:type="spellEnd"/>
      <w:r>
        <w:t>.</w:t>
      </w:r>
    </w:p>
    <w:p w:rsidR="00701B7C" w:rsidRDefault="00701B7C">
      <w:pPr>
        <w:pStyle w:val="BodyText"/>
        <w:spacing w:before="9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696"/>
        <w:gridCol w:w="2269"/>
        <w:gridCol w:w="2552"/>
      </w:tblGrid>
      <w:tr w:rsidR="00701B7C">
        <w:trPr>
          <w:trHeight w:val="791"/>
        </w:trPr>
        <w:tc>
          <w:tcPr>
            <w:tcW w:w="2835" w:type="dxa"/>
            <w:vMerge w:val="restart"/>
            <w:shd w:val="clear" w:color="auto" w:fill="2F5395"/>
          </w:tcPr>
          <w:p w:rsidR="00701B7C" w:rsidRDefault="00701B7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01B7C" w:rsidRDefault="008E5718">
            <w:pPr>
              <w:pStyle w:val="TableParagraph"/>
              <w:spacing w:before="219"/>
              <w:rPr>
                <w:sz w:val="24"/>
              </w:rPr>
            </w:pPr>
            <w:r>
              <w:rPr>
                <w:color w:val="FFFFFF"/>
                <w:sz w:val="24"/>
              </w:rPr>
              <w:t>Province</w:t>
            </w:r>
          </w:p>
        </w:tc>
        <w:tc>
          <w:tcPr>
            <w:tcW w:w="7517" w:type="dxa"/>
            <w:gridSpan w:val="3"/>
            <w:shd w:val="clear" w:color="auto" w:fill="2F5395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Health related Funded Filled / Vacant pos</w:t>
            </w:r>
            <w:r>
              <w:rPr>
                <w:color w:val="FFFFFF"/>
                <w:sz w:val="24"/>
              </w:rPr>
              <w:t>ts as at end September 2019</w:t>
            </w:r>
          </w:p>
        </w:tc>
      </w:tr>
      <w:tr w:rsidR="00701B7C">
        <w:trPr>
          <w:trHeight w:val="515"/>
        </w:trPr>
        <w:tc>
          <w:tcPr>
            <w:tcW w:w="2835" w:type="dxa"/>
            <w:vMerge/>
            <w:tcBorders>
              <w:top w:val="nil"/>
            </w:tcBorders>
            <w:shd w:val="clear" w:color="auto" w:fill="2F5395"/>
          </w:tcPr>
          <w:p w:rsidR="00701B7C" w:rsidRDefault="00701B7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2F5395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Filled</w:t>
            </w:r>
          </w:p>
        </w:tc>
        <w:tc>
          <w:tcPr>
            <w:tcW w:w="2269" w:type="dxa"/>
            <w:shd w:val="clear" w:color="auto" w:fill="2F5395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Vacant</w:t>
            </w:r>
          </w:p>
        </w:tc>
        <w:tc>
          <w:tcPr>
            <w:tcW w:w="2552" w:type="dxa"/>
            <w:shd w:val="clear" w:color="auto" w:fill="2F5395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FFFFFF"/>
                <w:sz w:val="24"/>
              </w:rPr>
              <w:t>Grand Total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26311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26396</w:t>
            </w:r>
          </w:p>
        </w:tc>
      </w:tr>
      <w:tr w:rsidR="00701B7C">
        <w:trPr>
          <w:trHeight w:val="516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12340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12362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41042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41177</w:t>
            </w:r>
          </w:p>
        </w:tc>
      </w:tr>
      <w:tr w:rsidR="00701B7C">
        <w:trPr>
          <w:trHeight w:val="517"/>
        </w:trPr>
        <w:tc>
          <w:tcPr>
            <w:tcW w:w="2835" w:type="dxa"/>
          </w:tcPr>
          <w:p w:rsidR="00701B7C" w:rsidRDefault="008E571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44992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45100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Limpopo Province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31589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31646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12644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12663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11466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11494</w:t>
            </w:r>
          </w:p>
        </w:tc>
      </w:tr>
      <w:tr w:rsidR="00701B7C">
        <w:trPr>
          <w:trHeight w:val="515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4279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4292</w:t>
            </w:r>
          </w:p>
        </w:tc>
      </w:tr>
      <w:tr w:rsidR="00701B7C">
        <w:trPr>
          <w:trHeight w:val="516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20042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20149</w:t>
            </w:r>
          </w:p>
        </w:tc>
      </w:tr>
      <w:tr w:rsidR="00701B7C">
        <w:trPr>
          <w:trHeight w:val="518"/>
        </w:trPr>
        <w:tc>
          <w:tcPr>
            <w:tcW w:w="2835" w:type="dxa"/>
          </w:tcPr>
          <w:p w:rsidR="00701B7C" w:rsidRDefault="008E57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2696" w:type="dxa"/>
          </w:tcPr>
          <w:p w:rsidR="00701B7C" w:rsidRDefault="008E57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204705</w:t>
            </w:r>
          </w:p>
        </w:tc>
        <w:tc>
          <w:tcPr>
            <w:tcW w:w="2269" w:type="dxa"/>
          </w:tcPr>
          <w:p w:rsidR="00701B7C" w:rsidRDefault="008E571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  <w:tc>
          <w:tcPr>
            <w:tcW w:w="2552" w:type="dxa"/>
          </w:tcPr>
          <w:p w:rsidR="00701B7C" w:rsidRDefault="008E571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205279</w:t>
            </w:r>
          </w:p>
        </w:tc>
      </w:tr>
    </w:tbl>
    <w:p w:rsidR="00701B7C" w:rsidRDefault="00701B7C">
      <w:pPr>
        <w:pStyle w:val="BodyText"/>
        <w:rPr>
          <w:sz w:val="26"/>
        </w:rPr>
      </w:pPr>
    </w:p>
    <w:p w:rsidR="00701B7C" w:rsidRDefault="00701B7C">
      <w:pPr>
        <w:pStyle w:val="BodyText"/>
        <w:spacing w:before="4"/>
        <w:rPr>
          <w:sz w:val="25"/>
        </w:rPr>
      </w:pPr>
    </w:p>
    <w:p w:rsidR="00701B7C" w:rsidRDefault="008E5718">
      <w:pPr>
        <w:pStyle w:val="BodyText"/>
        <w:ind w:left="112"/>
        <w:jc w:val="both"/>
      </w:pPr>
      <w:r>
        <w:t>END.</w:t>
      </w:r>
    </w:p>
    <w:sectPr w:rsidR="00701B7C" w:rsidSect="00701B7C">
      <w:type w:val="continuous"/>
      <w:pgSz w:w="11910" w:h="16840"/>
      <w:pgMar w:top="82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1B7C"/>
    <w:rsid w:val="00701B7C"/>
    <w:rsid w:val="008E5718"/>
    <w:rsid w:val="00F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B7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01B7C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1B7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01B7C"/>
  </w:style>
  <w:style w:type="paragraph" w:customStyle="1" w:styleId="TableParagraph">
    <w:name w:val="Table Paragraph"/>
    <w:basedOn w:val="Normal"/>
    <w:uiPriority w:val="1"/>
    <w:qFormat/>
    <w:rsid w:val="00701B7C"/>
    <w:pPr>
      <w:spacing w:before="118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Deftones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2019-11-29T10:24:00Z</dcterms:created>
  <dcterms:modified xsi:type="dcterms:W3CDTF">2019-11-29T10:24:00Z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