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EF" w:rsidRDefault="00CD72EF" w:rsidP="00000E2E">
      <w:pPr>
        <w:spacing w:before="100" w:beforeAutospacing="1" w:after="100" w:afterAutospacing="1"/>
        <w:ind w:left="709" w:hanging="709"/>
        <w:jc w:val="both"/>
        <w:outlineLvl w:val="0"/>
        <w:rPr>
          <w:rFonts w:ascii="Arial" w:hAnsi="Arial" w:cs="Arial"/>
          <w:b/>
          <w:sz w:val="22"/>
          <w:szCs w:val="22"/>
        </w:rPr>
      </w:pPr>
      <w:r>
        <w:rPr>
          <w:rFonts w:ascii="Arial" w:hAnsi="Arial" w:cs="Arial"/>
          <w:b/>
          <w:sz w:val="22"/>
          <w:szCs w:val="22"/>
        </w:rPr>
        <w:t>National Assembly</w:t>
      </w:r>
    </w:p>
    <w:p w:rsidR="00CD72EF" w:rsidRDefault="00CD72EF" w:rsidP="00000E2E">
      <w:pPr>
        <w:spacing w:before="100" w:beforeAutospacing="1" w:after="100" w:afterAutospacing="1"/>
        <w:ind w:left="709" w:hanging="709"/>
        <w:jc w:val="both"/>
        <w:outlineLvl w:val="0"/>
        <w:rPr>
          <w:rFonts w:ascii="Arial" w:hAnsi="Arial" w:cs="Arial"/>
          <w:b/>
          <w:sz w:val="22"/>
          <w:szCs w:val="22"/>
        </w:rPr>
      </w:pPr>
      <w:r>
        <w:rPr>
          <w:rFonts w:ascii="Arial" w:hAnsi="Arial" w:cs="Arial"/>
          <w:b/>
          <w:sz w:val="22"/>
          <w:szCs w:val="22"/>
        </w:rPr>
        <w:t>Question No: 135</w:t>
      </w:r>
    </w:p>
    <w:p w:rsidR="00000E2E" w:rsidRPr="00000E2E" w:rsidRDefault="00000E2E" w:rsidP="00000E2E">
      <w:pPr>
        <w:spacing w:before="100" w:beforeAutospacing="1" w:after="100" w:afterAutospacing="1"/>
        <w:ind w:left="709" w:hanging="709"/>
        <w:jc w:val="both"/>
        <w:outlineLvl w:val="0"/>
        <w:rPr>
          <w:rFonts w:ascii="Arial" w:hAnsi="Arial" w:cs="Arial"/>
          <w:sz w:val="22"/>
          <w:szCs w:val="22"/>
        </w:rPr>
      </w:pPr>
      <w:r w:rsidRPr="00000E2E">
        <w:rPr>
          <w:rFonts w:ascii="Arial" w:hAnsi="Arial" w:cs="Arial"/>
          <w:b/>
          <w:sz w:val="22"/>
          <w:szCs w:val="22"/>
        </w:rPr>
        <w:t xml:space="preserve">Ms B van Minnen (DA) to ask the Minister of Transport: </w:t>
      </w:r>
    </w:p>
    <w:p w:rsidR="00000E2E" w:rsidRPr="00000E2E" w:rsidRDefault="00000E2E" w:rsidP="00000E2E">
      <w:pPr>
        <w:spacing w:before="100" w:beforeAutospacing="1" w:after="100" w:afterAutospacing="1"/>
        <w:ind w:left="1440" w:hanging="720"/>
        <w:jc w:val="both"/>
        <w:outlineLvl w:val="0"/>
        <w:rPr>
          <w:rFonts w:ascii="Arial" w:hAnsi="Arial" w:cs="Arial"/>
          <w:sz w:val="22"/>
          <w:szCs w:val="22"/>
        </w:rPr>
      </w:pPr>
      <w:r w:rsidRPr="00000E2E">
        <w:rPr>
          <w:rFonts w:ascii="Arial" w:hAnsi="Arial" w:cs="Arial"/>
          <w:sz w:val="22"/>
          <w:szCs w:val="22"/>
        </w:rPr>
        <w:t>(1)</w:t>
      </w:r>
      <w:r w:rsidRPr="00000E2E">
        <w:rPr>
          <w:rFonts w:ascii="Arial" w:hAnsi="Arial" w:cs="Arial"/>
          <w:sz w:val="22"/>
          <w:szCs w:val="22"/>
        </w:rPr>
        <w:tab/>
        <w:t xml:space="preserve">In view of the recent oversight visit by the Standing Committee on Public Accounts to various Passenger Rail Agency of South Africa (Prasa) stations and locations in Gauteng, including the train station in Mabopane north of Pretoria which is </w:t>
      </w:r>
      <w:r w:rsidRPr="00000E2E">
        <w:rPr>
          <w:rFonts w:ascii="Arial" w:hAnsi="Arial" w:cs="Arial"/>
          <w:sz w:val="22"/>
          <w:szCs w:val="22"/>
          <w:lang w:eastAsia="en-ZA"/>
        </w:rPr>
        <w:t>the</w:t>
      </w:r>
      <w:r w:rsidRPr="00000E2E">
        <w:rPr>
          <w:rFonts w:ascii="Arial" w:hAnsi="Arial" w:cs="Arial"/>
          <w:sz w:val="22"/>
          <w:szCs w:val="22"/>
        </w:rPr>
        <w:t xml:space="preserve"> subject of ownership contestation (</w:t>
      </w:r>
      <w:r w:rsidR="003C490B">
        <w:rPr>
          <w:rFonts w:ascii="Arial" w:hAnsi="Arial" w:cs="Arial"/>
          <w:sz w:val="22"/>
          <w:szCs w:val="22"/>
        </w:rPr>
        <w:t>PRASA could not obtain an occupation certificate from the City of Tshwane.  Part of the property belongs to Tutuni Investments 31 PTY LTD</w:t>
      </w:r>
      <w:r w:rsidRPr="00000E2E">
        <w:rPr>
          <w:rFonts w:ascii="Arial" w:hAnsi="Arial" w:cs="Arial"/>
          <w:sz w:val="22"/>
          <w:szCs w:val="22"/>
        </w:rPr>
        <w:t>), what is the (a) current situation regarding the land ownership and (b) reason that a Prasa station is located on private land;</w:t>
      </w:r>
    </w:p>
    <w:p w:rsidR="00000E2E" w:rsidRPr="00000E2E" w:rsidRDefault="00000E2E" w:rsidP="00000E2E">
      <w:pPr>
        <w:spacing w:before="100" w:beforeAutospacing="1" w:after="100" w:afterAutospacing="1"/>
        <w:ind w:left="1440" w:hanging="720"/>
        <w:jc w:val="both"/>
        <w:outlineLvl w:val="0"/>
        <w:rPr>
          <w:rFonts w:ascii="Arial" w:hAnsi="Arial" w:cs="Arial"/>
          <w:sz w:val="22"/>
          <w:szCs w:val="22"/>
        </w:rPr>
      </w:pPr>
      <w:r w:rsidRPr="00000E2E">
        <w:rPr>
          <w:rFonts w:ascii="Arial" w:hAnsi="Arial" w:cs="Arial"/>
          <w:sz w:val="22"/>
          <w:szCs w:val="22"/>
        </w:rPr>
        <w:t>(2)</w:t>
      </w:r>
      <w:r w:rsidRPr="00000E2E">
        <w:rPr>
          <w:rFonts w:ascii="Arial" w:hAnsi="Arial" w:cs="Arial"/>
          <w:sz w:val="22"/>
          <w:szCs w:val="22"/>
        </w:rPr>
        <w:tab/>
        <w:t xml:space="preserve">(a) how was planning permission granted to construct the station, (b) who granted the </w:t>
      </w:r>
      <w:r w:rsidRPr="00000E2E">
        <w:rPr>
          <w:rFonts w:ascii="Arial" w:hAnsi="Arial" w:cs="Arial"/>
          <w:sz w:val="22"/>
          <w:szCs w:val="22"/>
          <w:lang w:eastAsia="en-ZA"/>
        </w:rPr>
        <w:t>permission</w:t>
      </w:r>
      <w:r w:rsidRPr="00000E2E">
        <w:rPr>
          <w:rFonts w:ascii="Arial" w:hAnsi="Arial" w:cs="Arial"/>
          <w:sz w:val="22"/>
          <w:szCs w:val="22"/>
        </w:rPr>
        <w:t xml:space="preserve"> and (c) on what date was such permission granted;</w:t>
      </w:r>
    </w:p>
    <w:p w:rsidR="00000E2E" w:rsidRPr="00000E2E" w:rsidRDefault="00000E2E" w:rsidP="00000E2E">
      <w:pPr>
        <w:spacing w:before="100" w:beforeAutospacing="1" w:after="100" w:afterAutospacing="1"/>
        <w:ind w:left="1440" w:hanging="720"/>
        <w:jc w:val="both"/>
        <w:outlineLvl w:val="0"/>
        <w:rPr>
          <w:rFonts w:ascii="Arial" w:hAnsi="Arial" w:cs="Arial"/>
          <w:sz w:val="22"/>
          <w:szCs w:val="22"/>
        </w:rPr>
      </w:pPr>
      <w:r w:rsidRPr="00000E2E">
        <w:rPr>
          <w:rFonts w:ascii="Arial" w:hAnsi="Arial" w:cs="Arial"/>
          <w:sz w:val="22"/>
          <w:szCs w:val="22"/>
        </w:rPr>
        <w:t>(3)</w:t>
      </w:r>
      <w:r w:rsidRPr="00000E2E">
        <w:rPr>
          <w:rFonts w:ascii="Arial" w:hAnsi="Arial" w:cs="Arial"/>
          <w:sz w:val="22"/>
          <w:szCs w:val="22"/>
        </w:rPr>
        <w:tab/>
        <w:t xml:space="preserve">what is the current </w:t>
      </w:r>
      <w:r w:rsidRPr="00000E2E">
        <w:rPr>
          <w:rFonts w:ascii="Arial" w:hAnsi="Arial" w:cs="Arial"/>
          <w:sz w:val="22"/>
          <w:szCs w:val="22"/>
          <w:lang w:eastAsia="en-ZA"/>
        </w:rPr>
        <w:t>situation</w:t>
      </w:r>
      <w:r w:rsidRPr="00000E2E">
        <w:rPr>
          <w:rFonts w:ascii="Arial" w:hAnsi="Arial" w:cs="Arial"/>
          <w:sz w:val="22"/>
          <w:szCs w:val="22"/>
        </w:rPr>
        <w:t xml:space="preserve"> with regard to the security contract;</w:t>
      </w:r>
    </w:p>
    <w:p w:rsidR="00000E2E" w:rsidRPr="00000E2E" w:rsidRDefault="00000E2E" w:rsidP="000452F7">
      <w:pPr>
        <w:ind w:left="1440" w:hanging="720"/>
        <w:jc w:val="both"/>
        <w:outlineLvl w:val="0"/>
        <w:rPr>
          <w:rFonts w:ascii="Arial" w:hAnsi="Arial" w:cs="Arial"/>
          <w:sz w:val="22"/>
          <w:szCs w:val="22"/>
        </w:rPr>
      </w:pPr>
      <w:r w:rsidRPr="00000E2E">
        <w:rPr>
          <w:rFonts w:ascii="Arial" w:hAnsi="Arial" w:cs="Arial"/>
          <w:sz w:val="22"/>
          <w:szCs w:val="22"/>
        </w:rPr>
        <w:t>(4)</w:t>
      </w:r>
      <w:r w:rsidRPr="00000E2E">
        <w:rPr>
          <w:rFonts w:ascii="Arial" w:hAnsi="Arial" w:cs="Arial"/>
          <w:sz w:val="22"/>
          <w:szCs w:val="22"/>
        </w:rPr>
        <w:tab/>
        <w:t xml:space="preserve">whether any permanent security is in place to prevent ongoing damage and vandalism; if not, why </w:t>
      </w:r>
      <w:r w:rsidRPr="00000E2E">
        <w:rPr>
          <w:rFonts w:ascii="Arial" w:hAnsi="Arial" w:cs="Arial"/>
          <w:sz w:val="22"/>
          <w:szCs w:val="22"/>
          <w:lang w:eastAsia="en-ZA"/>
        </w:rPr>
        <w:t>not</w:t>
      </w:r>
      <w:r w:rsidRPr="00000E2E">
        <w:rPr>
          <w:rFonts w:ascii="Arial" w:hAnsi="Arial" w:cs="Arial"/>
          <w:sz w:val="22"/>
          <w:szCs w:val="22"/>
        </w:rPr>
        <w:t>; if so, what are the relevant details?</w:t>
      </w:r>
      <w:r w:rsidRPr="00000E2E">
        <w:rPr>
          <w:rFonts w:ascii="Arial" w:hAnsi="Arial" w:cs="Arial"/>
          <w:sz w:val="22"/>
          <w:szCs w:val="22"/>
        </w:rPr>
        <w:tab/>
      </w:r>
      <w:r w:rsidRPr="00000E2E">
        <w:rPr>
          <w:rFonts w:ascii="Arial" w:hAnsi="Arial" w:cs="Arial"/>
          <w:color w:val="000000"/>
          <w:sz w:val="22"/>
          <w:szCs w:val="22"/>
          <w:lang w:eastAsia="en-GB"/>
        </w:rPr>
        <w:t>NW139E</w:t>
      </w:r>
    </w:p>
    <w:p w:rsidR="0082465F" w:rsidRDefault="00431FFB" w:rsidP="000452F7">
      <w:pPr>
        <w:spacing w:line="276" w:lineRule="auto"/>
        <w:jc w:val="both"/>
        <w:rPr>
          <w:rFonts w:ascii="Arial" w:hAnsi="Arial" w:cs="Arial"/>
          <w:b/>
          <w:bCs/>
          <w:sz w:val="22"/>
          <w:szCs w:val="22"/>
          <w:lang w:val="en-US"/>
        </w:rPr>
      </w:pPr>
      <w:r w:rsidRPr="00431FFB">
        <w:rPr>
          <w:rFonts w:ascii="Arial" w:hAnsi="Arial" w:cs="Arial"/>
          <w:b/>
          <w:bCs/>
          <w:sz w:val="22"/>
          <w:szCs w:val="22"/>
          <w:lang w:val="en-US"/>
        </w:rPr>
        <w:t>REPLY</w:t>
      </w:r>
    </w:p>
    <w:p w:rsidR="000452F7" w:rsidRPr="000452F7" w:rsidRDefault="000452F7" w:rsidP="000452F7">
      <w:pPr>
        <w:spacing w:line="276" w:lineRule="auto"/>
        <w:jc w:val="both"/>
        <w:rPr>
          <w:rFonts w:ascii="Arial" w:hAnsi="Arial" w:cs="Arial"/>
          <w:sz w:val="22"/>
          <w:szCs w:val="22"/>
        </w:rPr>
      </w:pPr>
    </w:p>
    <w:p w:rsidR="000452F7" w:rsidRPr="00CF283F" w:rsidRDefault="000452F7" w:rsidP="00715A1B">
      <w:pPr>
        <w:pStyle w:val="ListParagraph"/>
        <w:numPr>
          <w:ilvl w:val="0"/>
          <w:numId w:val="29"/>
        </w:numPr>
        <w:tabs>
          <w:tab w:val="left" w:pos="567"/>
          <w:tab w:val="left" w:pos="1134"/>
        </w:tabs>
        <w:suppressAutoHyphens w:val="0"/>
        <w:spacing w:after="0"/>
        <w:ind w:left="1134" w:hanging="1134"/>
        <w:jc w:val="both"/>
        <w:rPr>
          <w:rFonts w:ascii="Arial" w:hAnsi="Arial" w:cs="Arial"/>
          <w:sz w:val="22"/>
          <w:szCs w:val="22"/>
          <w:lang w:val="en-GB"/>
        </w:rPr>
      </w:pPr>
      <w:bookmarkStart w:id="0" w:name="_Hlk95760843"/>
      <w:r w:rsidRPr="00CF283F">
        <w:rPr>
          <w:rFonts w:ascii="Arial" w:hAnsi="Arial" w:cs="Arial"/>
          <w:sz w:val="22"/>
          <w:szCs w:val="22"/>
          <w:lang w:val="en-GB"/>
        </w:rPr>
        <w:t>(a)</w:t>
      </w:r>
      <w:r w:rsidR="00A07FD5" w:rsidRPr="00CF283F">
        <w:rPr>
          <w:rFonts w:ascii="Arial" w:hAnsi="Arial" w:cs="Arial"/>
          <w:sz w:val="22"/>
          <w:szCs w:val="22"/>
          <w:lang w:val="en-GB"/>
        </w:rPr>
        <w:tab/>
      </w:r>
      <w:r w:rsidRPr="00CF283F">
        <w:rPr>
          <w:rFonts w:ascii="Arial" w:hAnsi="Arial" w:cs="Arial"/>
          <w:sz w:val="22"/>
          <w:szCs w:val="22"/>
          <w:lang w:val="en-GB"/>
        </w:rPr>
        <w:t>The Mabopane train station has been built prior to</w:t>
      </w:r>
      <w:r w:rsidR="007B7055" w:rsidRPr="00CF283F">
        <w:rPr>
          <w:rFonts w:ascii="Arial" w:hAnsi="Arial" w:cs="Arial"/>
          <w:sz w:val="22"/>
          <w:szCs w:val="22"/>
          <w:lang w:val="en-GB"/>
        </w:rPr>
        <w:t xml:space="preserve"> </w:t>
      </w:r>
      <w:r w:rsidRPr="00CF283F">
        <w:rPr>
          <w:rFonts w:ascii="Arial" w:hAnsi="Arial" w:cs="Arial"/>
          <w:sz w:val="22"/>
          <w:szCs w:val="22"/>
          <w:lang w:val="en-GB"/>
        </w:rPr>
        <w:t xml:space="preserve">1980, with the ownership </w:t>
      </w:r>
      <w:r w:rsidR="00077F6C" w:rsidRPr="00CF283F">
        <w:rPr>
          <w:rFonts w:ascii="Arial" w:hAnsi="Arial" w:cs="Arial"/>
          <w:sz w:val="22"/>
          <w:szCs w:val="22"/>
          <w:lang w:val="en-GB"/>
        </w:rPr>
        <w:t xml:space="preserve">falling </w:t>
      </w:r>
      <w:r w:rsidR="007B7055" w:rsidRPr="00CF283F">
        <w:rPr>
          <w:rFonts w:ascii="Arial" w:hAnsi="Arial" w:cs="Arial"/>
          <w:sz w:val="22"/>
          <w:szCs w:val="22"/>
          <w:lang w:val="en-GB"/>
        </w:rPr>
        <w:t xml:space="preserve">under the </w:t>
      </w:r>
      <w:r w:rsidRPr="00CF283F">
        <w:rPr>
          <w:rFonts w:ascii="Arial" w:hAnsi="Arial" w:cs="Arial"/>
          <w:sz w:val="22"/>
          <w:szCs w:val="22"/>
          <w:lang w:val="en-GB"/>
        </w:rPr>
        <w:t>South African Railway and Harbours Administration (SAR&amp;H).  During all the changes in administration, the land ownership has changed as set below.</w:t>
      </w:r>
    </w:p>
    <w:p w:rsidR="000452F7" w:rsidRPr="000452F7" w:rsidRDefault="000452F7" w:rsidP="000452F7">
      <w:pPr>
        <w:pStyle w:val="ListParagraph"/>
        <w:tabs>
          <w:tab w:val="left" w:pos="1134"/>
        </w:tabs>
        <w:spacing w:after="0"/>
        <w:ind w:left="567"/>
        <w:jc w:val="both"/>
        <w:rPr>
          <w:rFonts w:ascii="Arial" w:hAnsi="Arial" w:cs="Arial"/>
          <w:sz w:val="22"/>
          <w:szCs w:val="22"/>
          <w:lang w:val="en-GB"/>
        </w:rPr>
      </w:pPr>
    </w:p>
    <w:p w:rsidR="000452F7" w:rsidRPr="000452F7" w:rsidRDefault="000452F7" w:rsidP="000452F7">
      <w:pPr>
        <w:pStyle w:val="ListParagraph"/>
        <w:tabs>
          <w:tab w:val="left" w:pos="1134"/>
          <w:tab w:val="left" w:pos="1701"/>
        </w:tabs>
        <w:spacing w:after="0"/>
        <w:ind w:left="1134"/>
        <w:jc w:val="both"/>
        <w:rPr>
          <w:rFonts w:ascii="Arial" w:hAnsi="Arial" w:cs="Arial"/>
          <w:sz w:val="22"/>
          <w:szCs w:val="22"/>
          <w:lang w:val="en-GB"/>
        </w:rPr>
      </w:pPr>
      <w:r w:rsidRPr="000452F7">
        <w:rPr>
          <w:rFonts w:ascii="Arial" w:hAnsi="Arial" w:cs="Arial"/>
          <w:sz w:val="22"/>
          <w:szCs w:val="22"/>
          <w:lang w:val="en-GB"/>
        </w:rPr>
        <w:t>The station comprises of two interlinked terminals:  the railway terminal and the bus terminal. The railway terminal is located on land owned by PRASA and the bus terminal</w:t>
      </w:r>
      <w:r w:rsidR="007B7055">
        <w:rPr>
          <w:rFonts w:ascii="Arial" w:hAnsi="Arial" w:cs="Arial"/>
          <w:sz w:val="22"/>
          <w:szCs w:val="22"/>
          <w:lang w:val="en-GB"/>
        </w:rPr>
        <w:t>,</w:t>
      </w:r>
      <w:r w:rsidRPr="000452F7">
        <w:rPr>
          <w:rFonts w:ascii="Arial" w:hAnsi="Arial" w:cs="Arial"/>
          <w:sz w:val="22"/>
          <w:szCs w:val="22"/>
          <w:lang w:val="en-GB"/>
        </w:rPr>
        <w:t xml:space="preserve"> at the time of construction</w:t>
      </w:r>
      <w:r w:rsidR="007B7055">
        <w:rPr>
          <w:rFonts w:ascii="Arial" w:hAnsi="Arial" w:cs="Arial"/>
          <w:sz w:val="22"/>
          <w:szCs w:val="22"/>
          <w:lang w:val="en-GB"/>
        </w:rPr>
        <w:t>,</w:t>
      </w:r>
      <w:r w:rsidRPr="000452F7">
        <w:rPr>
          <w:rFonts w:ascii="Arial" w:hAnsi="Arial" w:cs="Arial"/>
          <w:sz w:val="22"/>
          <w:szCs w:val="22"/>
          <w:lang w:val="en-GB"/>
        </w:rPr>
        <w:t xml:space="preserve"> was locate on three land parcels:</w:t>
      </w:r>
    </w:p>
    <w:p w:rsidR="000452F7" w:rsidRPr="000452F7" w:rsidRDefault="000452F7" w:rsidP="000452F7">
      <w:pPr>
        <w:pStyle w:val="ListParagraph"/>
        <w:tabs>
          <w:tab w:val="left" w:pos="1134"/>
          <w:tab w:val="left" w:pos="1701"/>
        </w:tabs>
        <w:spacing w:after="0"/>
        <w:ind w:left="1701"/>
        <w:jc w:val="both"/>
        <w:rPr>
          <w:rFonts w:ascii="Arial" w:hAnsi="Arial" w:cs="Arial"/>
          <w:sz w:val="22"/>
          <w:szCs w:val="22"/>
          <w:lang w:val="en-GB"/>
        </w:rPr>
      </w:pPr>
    </w:p>
    <w:p w:rsidR="000452F7" w:rsidRPr="000452F7" w:rsidRDefault="000452F7" w:rsidP="007B7055">
      <w:pPr>
        <w:pStyle w:val="ListParagraph"/>
        <w:tabs>
          <w:tab w:val="left" w:pos="1134"/>
          <w:tab w:val="left" w:pos="1701"/>
        </w:tabs>
        <w:suppressAutoHyphens w:val="0"/>
        <w:spacing w:after="0"/>
        <w:ind w:firstLine="414"/>
        <w:jc w:val="both"/>
        <w:rPr>
          <w:rFonts w:ascii="Arial" w:hAnsi="Arial" w:cs="Arial"/>
          <w:sz w:val="22"/>
          <w:szCs w:val="22"/>
          <w:lang w:val="en-GB"/>
        </w:rPr>
      </w:pPr>
      <w:r w:rsidRPr="000452F7">
        <w:rPr>
          <w:rFonts w:ascii="Arial" w:hAnsi="Arial" w:cs="Arial"/>
          <w:sz w:val="22"/>
          <w:szCs w:val="22"/>
          <w:lang w:val="en-GB"/>
        </w:rPr>
        <w:t>(1) Portion 3 of Farm Rietgat No 611–JR</w:t>
      </w:r>
    </w:p>
    <w:p w:rsidR="000452F7" w:rsidRPr="000452F7" w:rsidRDefault="000452F7" w:rsidP="007B7055">
      <w:pPr>
        <w:pStyle w:val="ListParagraph"/>
        <w:tabs>
          <w:tab w:val="left" w:pos="1134"/>
          <w:tab w:val="left" w:pos="1701"/>
        </w:tabs>
        <w:suppressAutoHyphens w:val="0"/>
        <w:spacing w:after="0"/>
        <w:ind w:firstLine="414"/>
        <w:jc w:val="both"/>
        <w:rPr>
          <w:rFonts w:ascii="Arial" w:hAnsi="Arial" w:cs="Arial"/>
          <w:sz w:val="22"/>
          <w:szCs w:val="22"/>
          <w:lang w:val="en-GB"/>
        </w:rPr>
      </w:pPr>
      <w:r w:rsidRPr="000452F7">
        <w:rPr>
          <w:rFonts w:ascii="Arial" w:hAnsi="Arial" w:cs="Arial"/>
          <w:sz w:val="22"/>
          <w:szCs w:val="22"/>
          <w:lang w:val="en-GB"/>
        </w:rPr>
        <w:t>(2) Remainder of Farm Boekenhoutfontein No 236–JR</w:t>
      </w:r>
    </w:p>
    <w:p w:rsidR="000452F7" w:rsidRPr="000452F7" w:rsidRDefault="000452F7" w:rsidP="007B7055">
      <w:pPr>
        <w:pStyle w:val="ListParagraph"/>
        <w:tabs>
          <w:tab w:val="left" w:pos="1134"/>
          <w:tab w:val="left" w:pos="1701"/>
        </w:tabs>
        <w:suppressAutoHyphens w:val="0"/>
        <w:spacing w:after="0"/>
        <w:ind w:firstLine="414"/>
        <w:jc w:val="both"/>
        <w:rPr>
          <w:rFonts w:ascii="Arial" w:hAnsi="Arial" w:cs="Arial"/>
          <w:sz w:val="22"/>
          <w:szCs w:val="22"/>
          <w:lang w:val="en-GB"/>
        </w:rPr>
      </w:pPr>
      <w:r w:rsidRPr="000452F7">
        <w:rPr>
          <w:rFonts w:ascii="Arial" w:hAnsi="Arial" w:cs="Arial"/>
          <w:sz w:val="22"/>
          <w:szCs w:val="22"/>
          <w:lang w:val="en-GB"/>
        </w:rPr>
        <w:t>(3) Portion 266 of Farm Rietgat No 611–JR</w:t>
      </w:r>
    </w:p>
    <w:p w:rsidR="000452F7" w:rsidRPr="000452F7" w:rsidRDefault="000452F7" w:rsidP="007B7055">
      <w:pPr>
        <w:tabs>
          <w:tab w:val="left" w:pos="1134"/>
          <w:tab w:val="left" w:pos="1701"/>
        </w:tabs>
        <w:spacing w:line="276" w:lineRule="auto"/>
        <w:ind w:left="1701" w:firstLine="414"/>
        <w:jc w:val="both"/>
        <w:rPr>
          <w:rFonts w:ascii="Arial" w:hAnsi="Arial" w:cs="Arial"/>
          <w:sz w:val="22"/>
          <w:szCs w:val="22"/>
          <w:lang w:val="en-GB"/>
        </w:rPr>
      </w:pPr>
    </w:p>
    <w:p w:rsidR="000452F7" w:rsidRDefault="007B7055" w:rsidP="000452F7">
      <w:pPr>
        <w:tabs>
          <w:tab w:val="left" w:pos="1134"/>
          <w:tab w:val="left" w:pos="1701"/>
        </w:tabs>
        <w:spacing w:line="276" w:lineRule="auto"/>
        <w:ind w:left="1134"/>
        <w:jc w:val="both"/>
        <w:rPr>
          <w:rFonts w:ascii="Arial" w:hAnsi="Arial" w:cs="Arial"/>
          <w:sz w:val="22"/>
          <w:szCs w:val="22"/>
          <w:lang w:val="en-GB"/>
        </w:rPr>
      </w:pPr>
      <w:r>
        <w:rPr>
          <w:rFonts w:ascii="Arial" w:hAnsi="Arial" w:cs="Arial"/>
          <w:sz w:val="22"/>
          <w:szCs w:val="22"/>
          <w:lang w:val="en-GB"/>
        </w:rPr>
        <w:t>L</w:t>
      </w:r>
      <w:r w:rsidR="000452F7" w:rsidRPr="000452F7">
        <w:rPr>
          <w:rFonts w:ascii="Arial" w:hAnsi="Arial" w:cs="Arial"/>
          <w:sz w:val="22"/>
          <w:szCs w:val="22"/>
          <w:lang w:val="en-GB"/>
        </w:rPr>
        <w:t>and parcel (1), was owned by the State and fell under the jurisdiction of Department of Land Affairs. The Department of Land Affairs agreed to donate this property to the S</w:t>
      </w:r>
      <w:r>
        <w:rPr>
          <w:rFonts w:ascii="Arial" w:hAnsi="Arial" w:cs="Arial"/>
          <w:sz w:val="22"/>
          <w:szCs w:val="22"/>
          <w:lang w:val="en-GB"/>
        </w:rPr>
        <w:t xml:space="preserve">outh </w:t>
      </w:r>
      <w:r w:rsidR="000452F7" w:rsidRPr="000452F7">
        <w:rPr>
          <w:rFonts w:ascii="Arial" w:hAnsi="Arial" w:cs="Arial"/>
          <w:sz w:val="22"/>
          <w:szCs w:val="22"/>
          <w:lang w:val="en-GB"/>
        </w:rPr>
        <w:t>A</w:t>
      </w:r>
      <w:r>
        <w:rPr>
          <w:rFonts w:ascii="Arial" w:hAnsi="Arial" w:cs="Arial"/>
          <w:sz w:val="22"/>
          <w:szCs w:val="22"/>
          <w:lang w:val="en-GB"/>
        </w:rPr>
        <w:t xml:space="preserve">frica </w:t>
      </w:r>
      <w:r w:rsidR="000452F7" w:rsidRPr="000452F7">
        <w:rPr>
          <w:rFonts w:ascii="Arial" w:hAnsi="Arial" w:cs="Arial"/>
          <w:sz w:val="22"/>
          <w:szCs w:val="22"/>
          <w:lang w:val="en-GB"/>
        </w:rPr>
        <w:t>R</w:t>
      </w:r>
      <w:r>
        <w:rPr>
          <w:rFonts w:ascii="Arial" w:hAnsi="Arial" w:cs="Arial"/>
          <w:sz w:val="22"/>
          <w:szCs w:val="22"/>
          <w:lang w:val="en-GB"/>
        </w:rPr>
        <w:t xml:space="preserve">ail </w:t>
      </w:r>
      <w:r w:rsidR="000452F7" w:rsidRPr="000452F7">
        <w:rPr>
          <w:rFonts w:ascii="Arial" w:hAnsi="Arial" w:cs="Arial"/>
          <w:sz w:val="22"/>
          <w:szCs w:val="22"/>
          <w:lang w:val="en-GB"/>
        </w:rPr>
        <w:t>C</w:t>
      </w:r>
      <w:r>
        <w:rPr>
          <w:rFonts w:ascii="Arial" w:hAnsi="Arial" w:cs="Arial"/>
          <w:sz w:val="22"/>
          <w:szCs w:val="22"/>
          <w:lang w:val="en-GB"/>
        </w:rPr>
        <w:t xml:space="preserve">ommuter </w:t>
      </w:r>
      <w:r w:rsidR="000452F7" w:rsidRPr="000452F7">
        <w:rPr>
          <w:rFonts w:ascii="Arial" w:hAnsi="Arial" w:cs="Arial"/>
          <w:sz w:val="22"/>
          <w:szCs w:val="22"/>
          <w:lang w:val="en-GB"/>
        </w:rPr>
        <w:t>C</w:t>
      </w:r>
      <w:r>
        <w:rPr>
          <w:rFonts w:ascii="Arial" w:hAnsi="Arial" w:cs="Arial"/>
          <w:sz w:val="22"/>
          <w:szCs w:val="22"/>
          <w:lang w:val="en-GB"/>
        </w:rPr>
        <w:t>orporation</w:t>
      </w:r>
      <w:r w:rsidR="00A107A2">
        <w:rPr>
          <w:rFonts w:ascii="Arial" w:hAnsi="Arial" w:cs="Arial"/>
          <w:sz w:val="22"/>
          <w:szCs w:val="22"/>
          <w:lang w:val="en-GB"/>
        </w:rPr>
        <w:t xml:space="preserve"> </w:t>
      </w:r>
      <w:r>
        <w:rPr>
          <w:rFonts w:ascii="Arial" w:hAnsi="Arial" w:cs="Arial"/>
          <w:sz w:val="22"/>
          <w:szCs w:val="22"/>
          <w:lang w:val="en-GB"/>
        </w:rPr>
        <w:t>(SARCC</w:t>
      </w:r>
      <w:r w:rsidR="00077F6C">
        <w:rPr>
          <w:rFonts w:ascii="Arial" w:hAnsi="Arial" w:cs="Arial"/>
          <w:sz w:val="22"/>
          <w:szCs w:val="22"/>
          <w:lang w:val="en-GB"/>
        </w:rPr>
        <w:t>, currently PRASA</w:t>
      </w:r>
      <w:r>
        <w:rPr>
          <w:rFonts w:ascii="Arial" w:hAnsi="Arial" w:cs="Arial"/>
          <w:sz w:val="22"/>
          <w:szCs w:val="22"/>
          <w:lang w:val="en-GB"/>
        </w:rPr>
        <w:t>)</w:t>
      </w:r>
      <w:r w:rsidR="000452F7" w:rsidRPr="000452F7">
        <w:rPr>
          <w:rFonts w:ascii="Arial" w:hAnsi="Arial" w:cs="Arial"/>
          <w:sz w:val="22"/>
          <w:szCs w:val="22"/>
          <w:lang w:val="en-GB"/>
        </w:rPr>
        <w:t xml:space="preserve">. </w:t>
      </w:r>
      <w:r>
        <w:rPr>
          <w:rFonts w:ascii="Arial" w:hAnsi="Arial" w:cs="Arial"/>
          <w:sz w:val="22"/>
          <w:szCs w:val="22"/>
          <w:lang w:val="en-GB"/>
        </w:rPr>
        <w:t>A r</w:t>
      </w:r>
      <w:r w:rsidR="000452F7" w:rsidRPr="000452F7">
        <w:rPr>
          <w:rFonts w:ascii="Arial" w:hAnsi="Arial" w:cs="Arial"/>
          <w:sz w:val="22"/>
          <w:szCs w:val="22"/>
          <w:lang w:val="en-GB"/>
        </w:rPr>
        <w:t>ecommendation to dispose the property was done in 2006 and was approved by the Minister</w:t>
      </w:r>
      <w:r>
        <w:rPr>
          <w:rFonts w:ascii="Arial" w:hAnsi="Arial" w:cs="Arial"/>
          <w:sz w:val="22"/>
          <w:szCs w:val="22"/>
          <w:lang w:val="en-GB"/>
        </w:rPr>
        <w:t xml:space="preserve"> of Land Affairs</w:t>
      </w:r>
      <w:r w:rsidR="000452F7" w:rsidRPr="000452F7">
        <w:rPr>
          <w:rFonts w:ascii="Arial" w:hAnsi="Arial" w:cs="Arial"/>
          <w:sz w:val="22"/>
          <w:szCs w:val="22"/>
          <w:lang w:val="en-GB"/>
        </w:rPr>
        <w:t xml:space="preserve">. National Treasury </w:t>
      </w:r>
      <w:r>
        <w:rPr>
          <w:rFonts w:ascii="Arial" w:hAnsi="Arial" w:cs="Arial"/>
          <w:sz w:val="22"/>
          <w:szCs w:val="22"/>
          <w:lang w:val="en-GB"/>
        </w:rPr>
        <w:t xml:space="preserve">also granted </w:t>
      </w:r>
      <w:r w:rsidR="000452F7" w:rsidRPr="000452F7">
        <w:rPr>
          <w:rFonts w:ascii="Arial" w:hAnsi="Arial" w:cs="Arial"/>
          <w:sz w:val="22"/>
          <w:szCs w:val="22"/>
          <w:lang w:val="en-GB"/>
        </w:rPr>
        <w:t xml:space="preserve">approval to donate </w:t>
      </w:r>
      <w:r>
        <w:rPr>
          <w:rFonts w:ascii="Arial" w:hAnsi="Arial" w:cs="Arial"/>
          <w:sz w:val="22"/>
          <w:szCs w:val="22"/>
          <w:lang w:val="en-GB"/>
        </w:rPr>
        <w:t xml:space="preserve">the land parcel to PRASA </w:t>
      </w:r>
      <w:r w:rsidR="000452F7" w:rsidRPr="000452F7">
        <w:rPr>
          <w:rFonts w:ascii="Arial" w:hAnsi="Arial" w:cs="Arial"/>
          <w:sz w:val="22"/>
          <w:szCs w:val="22"/>
          <w:lang w:val="en-GB"/>
        </w:rPr>
        <w:t xml:space="preserve">on 16 May 2007. The State Attorney was appointed to effect the transfer. </w:t>
      </w:r>
      <w:r w:rsidR="00077F6C">
        <w:rPr>
          <w:rFonts w:ascii="Arial" w:hAnsi="Arial" w:cs="Arial"/>
          <w:sz w:val="22"/>
          <w:szCs w:val="22"/>
          <w:lang w:val="en-GB"/>
        </w:rPr>
        <w:t>To date, the</w:t>
      </w:r>
      <w:r w:rsidR="000452F7" w:rsidRPr="000452F7">
        <w:rPr>
          <w:rFonts w:ascii="Arial" w:hAnsi="Arial" w:cs="Arial"/>
          <w:sz w:val="22"/>
          <w:szCs w:val="22"/>
          <w:lang w:val="en-GB"/>
        </w:rPr>
        <w:t xml:space="preserve"> transfer </w:t>
      </w:r>
      <w:r w:rsidR="00077F6C">
        <w:rPr>
          <w:rFonts w:ascii="Arial" w:hAnsi="Arial" w:cs="Arial"/>
          <w:sz w:val="22"/>
          <w:szCs w:val="22"/>
          <w:lang w:val="en-GB"/>
        </w:rPr>
        <w:t xml:space="preserve">has not </w:t>
      </w:r>
      <w:r w:rsidR="000452F7" w:rsidRPr="000452F7">
        <w:rPr>
          <w:rFonts w:ascii="Arial" w:hAnsi="Arial" w:cs="Arial"/>
          <w:sz w:val="22"/>
          <w:szCs w:val="22"/>
          <w:lang w:val="en-GB"/>
        </w:rPr>
        <w:t>take</w:t>
      </w:r>
      <w:r w:rsidR="00077F6C">
        <w:rPr>
          <w:rFonts w:ascii="Arial" w:hAnsi="Arial" w:cs="Arial"/>
          <w:sz w:val="22"/>
          <w:szCs w:val="22"/>
          <w:lang w:val="en-GB"/>
        </w:rPr>
        <w:t>n</w:t>
      </w:r>
      <w:r w:rsidR="000452F7" w:rsidRPr="000452F7">
        <w:rPr>
          <w:rFonts w:ascii="Arial" w:hAnsi="Arial" w:cs="Arial"/>
          <w:sz w:val="22"/>
          <w:szCs w:val="22"/>
          <w:lang w:val="en-GB"/>
        </w:rPr>
        <w:t xml:space="preserve"> place, however, the State Attorney’s office is reopening the case and will complete th</w:t>
      </w:r>
      <w:r w:rsidR="00077F6C">
        <w:rPr>
          <w:rFonts w:ascii="Arial" w:hAnsi="Arial" w:cs="Arial"/>
          <w:sz w:val="22"/>
          <w:szCs w:val="22"/>
          <w:lang w:val="en-GB"/>
        </w:rPr>
        <w:t>e</w:t>
      </w:r>
      <w:r w:rsidR="000452F7" w:rsidRPr="000452F7">
        <w:rPr>
          <w:rFonts w:ascii="Arial" w:hAnsi="Arial" w:cs="Arial"/>
          <w:sz w:val="22"/>
          <w:szCs w:val="22"/>
          <w:lang w:val="en-GB"/>
        </w:rPr>
        <w:t xml:space="preserve"> transaction.</w:t>
      </w:r>
    </w:p>
    <w:p w:rsidR="000452F7" w:rsidRDefault="000452F7" w:rsidP="000452F7">
      <w:pPr>
        <w:tabs>
          <w:tab w:val="left" w:pos="1134"/>
          <w:tab w:val="left" w:pos="1701"/>
        </w:tabs>
        <w:spacing w:line="276" w:lineRule="auto"/>
        <w:ind w:left="1134"/>
        <w:jc w:val="both"/>
        <w:rPr>
          <w:rFonts w:ascii="Arial" w:hAnsi="Arial" w:cs="Arial"/>
          <w:sz w:val="22"/>
          <w:szCs w:val="22"/>
          <w:lang w:val="en-GB"/>
        </w:rPr>
      </w:pPr>
    </w:p>
    <w:p w:rsidR="000452F7" w:rsidRPr="000452F7" w:rsidRDefault="00077F6C" w:rsidP="000452F7">
      <w:pPr>
        <w:tabs>
          <w:tab w:val="left" w:pos="1134"/>
          <w:tab w:val="left" w:pos="1701"/>
        </w:tabs>
        <w:spacing w:line="276" w:lineRule="auto"/>
        <w:ind w:left="1134"/>
        <w:jc w:val="both"/>
        <w:rPr>
          <w:rFonts w:ascii="Arial" w:hAnsi="Arial" w:cs="Arial"/>
          <w:sz w:val="22"/>
          <w:szCs w:val="22"/>
          <w:lang w:val="en-GB"/>
        </w:rPr>
      </w:pPr>
      <w:r>
        <w:rPr>
          <w:rFonts w:ascii="Arial" w:hAnsi="Arial" w:cs="Arial"/>
          <w:sz w:val="22"/>
          <w:szCs w:val="22"/>
          <w:lang w:val="en-GB"/>
        </w:rPr>
        <w:t xml:space="preserve">In April 2000, Land parcel </w:t>
      </w:r>
      <w:r w:rsidR="000452F7" w:rsidRPr="000452F7">
        <w:rPr>
          <w:rFonts w:ascii="Arial" w:hAnsi="Arial" w:cs="Arial"/>
          <w:sz w:val="22"/>
          <w:szCs w:val="22"/>
          <w:lang w:val="en-GB"/>
        </w:rPr>
        <w:t>(2)</w:t>
      </w:r>
      <w:r>
        <w:rPr>
          <w:rFonts w:ascii="Arial" w:hAnsi="Arial" w:cs="Arial"/>
          <w:sz w:val="22"/>
          <w:szCs w:val="22"/>
          <w:lang w:val="en-GB"/>
        </w:rPr>
        <w:t xml:space="preserve"> and (3)</w:t>
      </w:r>
      <w:r w:rsidR="000452F7" w:rsidRPr="000452F7">
        <w:rPr>
          <w:rFonts w:ascii="Arial" w:hAnsi="Arial" w:cs="Arial"/>
          <w:sz w:val="22"/>
          <w:szCs w:val="22"/>
          <w:lang w:val="en-GB"/>
        </w:rPr>
        <w:t xml:space="preserve"> were consolidated into a single property known as Farm Mabopane No 702–JR and registered via title deed </w:t>
      </w:r>
      <w:r w:rsidR="000452F7" w:rsidRPr="000452F7">
        <w:rPr>
          <w:rFonts w:ascii="Arial" w:hAnsi="Arial" w:cs="Arial"/>
          <w:sz w:val="22"/>
          <w:szCs w:val="22"/>
          <w:lang w:val="en-GB"/>
        </w:rPr>
        <w:lastRenderedPageBreak/>
        <w:t>T73872/2012 in favour of City of Tshwane Metropolitan Municipality</w:t>
      </w:r>
      <w:r>
        <w:rPr>
          <w:rFonts w:ascii="Arial" w:hAnsi="Arial" w:cs="Arial"/>
          <w:sz w:val="22"/>
          <w:szCs w:val="22"/>
          <w:lang w:val="en-GB"/>
        </w:rPr>
        <w:t xml:space="preserve"> (City of Tshwane)</w:t>
      </w:r>
      <w:r w:rsidR="000452F7" w:rsidRPr="000452F7">
        <w:rPr>
          <w:rFonts w:ascii="Arial" w:hAnsi="Arial" w:cs="Arial"/>
          <w:sz w:val="22"/>
          <w:szCs w:val="22"/>
          <w:lang w:val="en-GB"/>
        </w:rPr>
        <w:t xml:space="preserve">.  According to the Department of Land Affairs, the City of Tshwane had agreed in principle to transfer </w:t>
      </w:r>
      <w:r>
        <w:rPr>
          <w:rFonts w:ascii="Arial" w:hAnsi="Arial" w:cs="Arial"/>
          <w:sz w:val="22"/>
          <w:szCs w:val="22"/>
          <w:lang w:val="en-GB"/>
        </w:rPr>
        <w:t>the</w:t>
      </w:r>
      <w:r w:rsidR="000452F7" w:rsidRPr="000452F7">
        <w:rPr>
          <w:rFonts w:ascii="Arial" w:hAnsi="Arial" w:cs="Arial"/>
          <w:sz w:val="22"/>
          <w:szCs w:val="22"/>
          <w:lang w:val="en-GB"/>
        </w:rPr>
        <w:t xml:space="preserve"> portion of land, on which the </w:t>
      </w:r>
      <w:r w:rsidR="00AF07FF">
        <w:rPr>
          <w:rFonts w:ascii="Arial" w:hAnsi="Arial" w:cs="Arial"/>
          <w:sz w:val="22"/>
          <w:szCs w:val="22"/>
          <w:lang w:val="en-GB"/>
        </w:rPr>
        <w:t xml:space="preserve">bus </w:t>
      </w:r>
      <w:r w:rsidR="000452F7" w:rsidRPr="000452F7">
        <w:rPr>
          <w:rFonts w:ascii="Arial" w:hAnsi="Arial" w:cs="Arial"/>
          <w:sz w:val="22"/>
          <w:szCs w:val="22"/>
          <w:lang w:val="en-GB"/>
        </w:rPr>
        <w:t>station is located, to PRASA.</w:t>
      </w:r>
    </w:p>
    <w:p w:rsidR="000452F7" w:rsidRPr="000452F7" w:rsidRDefault="000452F7" w:rsidP="000452F7">
      <w:pPr>
        <w:tabs>
          <w:tab w:val="left" w:pos="1134"/>
          <w:tab w:val="left" w:pos="1701"/>
        </w:tabs>
        <w:spacing w:line="276" w:lineRule="auto"/>
        <w:jc w:val="both"/>
        <w:rPr>
          <w:rFonts w:ascii="Arial" w:hAnsi="Arial" w:cs="Arial"/>
          <w:sz w:val="22"/>
          <w:szCs w:val="22"/>
          <w:lang w:val="en-GB"/>
        </w:rPr>
      </w:pPr>
      <w:r>
        <w:rPr>
          <w:rFonts w:ascii="Arial" w:hAnsi="Arial" w:cs="Arial"/>
          <w:sz w:val="22"/>
          <w:szCs w:val="22"/>
          <w:lang w:val="en-GB"/>
        </w:rPr>
        <w:tab/>
      </w:r>
    </w:p>
    <w:p w:rsidR="000452F7" w:rsidRPr="000452F7" w:rsidRDefault="000452F7" w:rsidP="000452F7">
      <w:pPr>
        <w:tabs>
          <w:tab w:val="left" w:pos="1134"/>
          <w:tab w:val="left" w:pos="1701"/>
        </w:tabs>
        <w:spacing w:line="276" w:lineRule="auto"/>
        <w:ind w:left="1134"/>
        <w:jc w:val="both"/>
        <w:rPr>
          <w:rFonts w:ascii="Arial" w:hAnsi="Arial" w:cs="Arial"/>
          <w:sz w:val="22"/>
          <w:szCs w:val="22"/>
          <w:lang w:val="en-GB"/>
        </w:rPr>
      </w:pPr>
      <w:r w:rsidRPr="000452F7">
        <w:rPr>
          <w:rFonts w:ascii="Arial" w:hAnsi="Arial" w:cs="Arial"/>
          <w:sz w:val="22"/>
          <w:szCs w:val="22"/>
          <w:lang w:val="en-GB"/>
        </w:rPr>
        <w:t>In 2008, City of Tshwane transferred the remainder of Farm Mabopane No 702–JR, to Tutuni Investments 31 PTY LTD, No 2008/002145/07.</w:t>
      </w:r>
    </w:p>
    <w:p w:rsidR="000452F7" w:rsidRPr="000452F7" w:rsidRDefault="000452F7" w:rsidP="000452F7">
      <w:pPr>
        <w:tabs>
          <w:tab w:val="left" w:pos="1134"/>
          <w:tab w:val="left" w:pos="1701"/>
        </w:tabs>
        <w:spacing w:line="276" w:lineRule="auto"/>
        <w:jc w:val="both"/>
        <w:rPr>
          <w:rFonts w:ascii="Arial" w:hAnsi="Arial" w:cs="Arial"/>
          <w:sz w:val="22"/>
          <w:szCs w:val="22"/>
          <w:lang w:val="en-GB"/>
        </w:rPr>
      </w:pPr>
      <w:r>
        <w:rPr>
          <w:rFonts w:ascii="Arial" w:hAnsi="Arial" w:cs="Arial"/>
          <w:sz w:val="22"/>
          <w:szCs w:val="22"/>
          <w:lang w:val="en-GB"/>
        </w:rPr>
        <w:tab/>
      </w:r>
    </w:p>
    <w:p w:rsidR="000452F7" w:rsidRPr="000452F7" w:rsidRDefault="000452F7" w:rsidP="000452F7">
      <w:pPr>
        <w:tabs>
          <w:tab w:val="left" w:pos="1134"/>
          <w:tab w:val="left" w:pos="1701"/>
        </w:tabs>
        <w:spacing w:line="276" w:lineRule="auto"/>
        <w:ind w:left="1134"/>
        <w:jc w:val="both"/>
        <w:rPr>
          <w:rFonts w:ascii="Arial" w:hAnsi="Arial" w:cs="Arial"/>
          <w:sz w:val="22"/>
          <w:szCs w:val="22"/>
          <w:lang w:val="en-GB"/>
        </w:rPr>
      </w:pPr>
      <w:r w:rsidRPr="000452F7">
        <w:rPr>
          <w:rFonts w:ascii="Arial" w:hAnsi="Arial" w:cs="Arial"/>
          <w:sz w:val="22"/>
          <w:szCs w:val="22"/>
          <w:lang w:val="en-GB"/>
        </w:rPr>
        <w:t xml:space="preserve">In 2012, Farm Mabopane No 702–JR, was subdivided to create portions 44 – 58.  These newly created portions were registered in favour of various owners.  </w:t>
      </w:r>
      <w:r w:rsidR="00077F6C">
        <w:rPr>
          <w:rFonts w:ascii="Arial" w:hAnsi="Arial" w:cs="Arial"/>
          <w:sz w:val="22"/>
          <w:szCs w:val="22"/>
          <w:lang w:val="en-GB"/>
        </w:rPr>
        <w:t>On 28 September 2012, t</w:t>
      </w:r>
      <w:r w:rsidRPr="000452F7">
        <w:rPr>
          <w:rFonts w:ascii="Arial" w:hAnsi="Arial" w:cs="Arial"/>
          <w:sz w:val="22"/>
          <w:szCs w:val="22"/>
          <w:lang w:val="en-GB"/>
        </w:rPr>
        <w:t xml:space="preserve">he remainder of the </w:t>
      </w:r>
      <w:r w:rsidR="00AF07FF">
        <w:rPr>
          <w:rFonts w:ascii="Arial" w:hAnsi="Arial" w:cs="Arial"/>
          <w:sz w:val="22"/>
          <w:szCs w:val="22"/>
          <w:lang w:val="en-GB"/>
        </w:rPr>
        <w:t>F</w:t>
      </w:r>
      <w:r w:rsidRPr="000452F7">
        <w:rPr>
          <w:rFonts w:ascii="Arial" w:hAnsi="Arial" w:cs="Arial"/>
          <w:sz w:val="22"/>
          <w:szCs w:val="22"/>
          <w:lang w:val="en-GB"/>
        </w:rPr>
        <w:t>arm reverted to the City of Tshwane via Title Deed T73872/2012.</w:t>
      </w:r>
    </w:p>
    <w:p w:rsidR="000452F7" w:rsidRPr="000452F7" w:rsidRDefault="000452F7" w:rsidP="000452F7">
      <w:pPr>
        <w:tabs>
          <w:tab w:val="left" w:pos="1134"/>
          <w:tab w:val="left" w:pos="1701"/>
        </w:tabs>
        <w:spacing w:line="276" w:lineRule="auto"/>
        <w:jc w:val="both"/>
        <w:rPr>
          <w:rFonts w:ascii="Arial" w:hAnsi="Arial" w:cs="Arial"/>
          <w:sz w:val="22"/>
          <w:szCs w:val="22"/>
          <w:lang w:val="en-GB"/>
        </w:rPr>
      </w:pPr>
      <w:r>
        <w:rPr>
          <w:rFonts w:ascii="Arial" w:hAnsi="Arial" w:cs="Arial"/>
          <w:sz w:val="22"/>
          <w:szCs w:val="22"/>
          <w:lang w:val="en-GB"/>
        </w:rPr>
        <w:tab/>
      </w:r>
    </w:p>
    <w:p w:rsidR="000452F7" w:rsidRPr="000452F7" w:rsidRDefault="000452F7" w:rsidP="000452F7">
      <w:pPr>
        <w:tabs>
          <w:tab w:val="left" w:pos="1134"/>
          <w:tab w:val="left" w:pos="1701"/>
        </w:tabs>
        <w:spacing w:line="276" w:lineRule="auto"/>
        <w:ind w:left="1134"/>
        <w:jc w:val="both"/>
        <w:rPr>
          <w:rFonts w:ascii="Arial" w:hAnsi="Arial" w:cs="Arial"/>
          <w:sz w:val="22"/>
          <w:szCs w:val="22"/>
          <w:lang w:val="en-GB"/>
        </w:rPr>
      </w:pPr>
      <w:r w:rsidRPr="000452F7">
        <w:rPr>
          <w:rFonts w:ascii="Arial" w:hAnsi="Arial" w:cs="Arial"/>
          <w:sz w:val="22"/>
          <w:szCs w:val="22"/>
          <w:lang w:val="en-GB"/>
        </w:rPr>
        <w:t xml:space="preserve">Portion 52, which included the portion on which the bus terminal is constructed on, was surveyed via SG Diagram No 2683/2012 by Mr G Pettit (Professional Land </w:t>
      </w:r>
      <w:r w:rsidR="00E3214B" w:rsidRPr="000452F7">
        <w:rPr>
          <w:rFonts w:ascii="Arial" w:hAnsi="Arial" w:cs="Arial"/>
          <w:sz w:val="22"/>
          <w:szCs w:val="22"/>
          <w:lang w:val="en-GB"/>
        </w:rPr>
        <w:t>Surveyor</w:t>
      </w:r>
      <w:r w:rsidRPr="000452F7">
        <w:rPr>
          <w:rFonts w:ascii="Arial" w:hAnsi="Arial" w:cs="Arial"/>
          <w:sz w:val="22"/>
          <w:szCs w:val="22"/>
          <w:lang w:val="en-GB"/>
        </w:rPr>
        <w:t xml:space="preserve">, PLS0913) and registered in favour of Tutuni Investments 31 PTY LTD, No 2008/002145/07 on 22 August 2012. Less than a month later, on 10 September 2012, the property was endorsed in favour of Permacorp </w:t>
      </w:r>
      <w:r w:rsidR="00E3214B" w:rsidRPr="000452F7">
        <w:rPr>
          <w:rFonts w:ascii="Arial" w:hAnsi="Arial" w:cs="Arial"/>
          <w:sz w:val="22"/>
          <w:szCs w:val="22"/>
          <w:lang w:val="en-GB"/>
        </w:rPr>
        <w:t>Inv</w:t>
      </w:r>
      <w:r w:rsidR="00E3214B">
        <w:rPr>
          <w:rFonts w:ascii="Arial" w:hAnsi="Arial" w:cs="Arial"/>
          <w:sz w:val="22"/>
          <w:szCs w:val="22"/>
          <w:lang w:val="en-GB"/>
        </w:rPr>
        <w:t>estments</w:t>
      </w:r>
      <w:r w:rsidRPr="000452F7">
        <w:rPr>
          <w:rFonts w:ascii="Arial" w:hAnsi="Arial" w:cs="Arial"/>
          <w:sz w:val="22"/>
          <w:szCs w:val="22"/>
          <w:lang w:val="en-GB"/>
        </w:rPr>
        <w:t xml:space="preserve"> PTY LTD, No 2011/118721/07.</w:t>
      </w:r>
    </w:p>
    <w:p w:rsidR="00E3214B" w:rsidRDefault="00E3214B" w:rsidP="000452F7">
      <w:pPr>
        <w:tabs>
          <w:tab w:val="left" w:pos="1134"/>
          <w:tab w:val="left" w:pos="1701"/>
        </w:tabs>
        <w:spacing w:line="276" w:lineRule="auto"/>
        <w:ind w:left="1134"/>
        <w:jc w:val="both"/>
        <w:rPr>
          <w:rFonts w:ascii="Arial" w:hAnsi="Arial" w:cs="Arial"/>
          <w:sz w:val="22"/>
          <w:szCs w:val="22"/>
          <w:lang w:val="en-GB"/>
        </w:rPr>
      </w:pPr>
    </w:p>
    <w:p w:rsidR="000452F7" w:rsidRPr="000452F7" w:rsidRDefault="000452F7" w:rsidP="000452F7">
      <w:pPr>
        <w:tabs>
          <w:tab w:val="left" w:pos="1134"/>
          <w:tab w:val="left" w:pos="1701"/>
        </w:tabs>
        <w:spacing w:line="276" w:lineRule="auto"/>
        <w:ind w:left="1134"/>
        <w:jc w:val="both"/>
        <w:rPr>
          <w:rFonts w:ascii="Arial" w:hAnsi="Arial" w:cs="Arial"/>
          <w:sz w:val="22"/>
          <w:szCs w:val="22"/>
          <w:lang w:val="en-GB"/>
        </w:rPr>
      </w:pPr>
      <w:r w:rsidRPr="000452F7">
        <w:rPr>
          <w:rFonts w:ascii="Arial" w:hAnsi="Arial" w:cs="Arial"/>
          <w:sz w:val="22"/>
          <w:szCs w:val="22"/>
          <w:lang w:val="en-GB"/>
        </w:rPr>
        <w:t>It needs to be noted that:</w:t>
      </w:r>
    </w:p>
    <w:p w:rsidR="000452F7" w:rsidRDefault="000452F7" w:rsidP="000452F7">
      <w:pPr>
        <w:pStyle w:val="ListParagraph"/>
        <w:numPr>
          <w:ilvl w:val="0"/>
          <w:numId w:val="30"/>
        </w:numPr>
        <w:tabs>
          <w:tab w:val="left" w:pos="1134"/>
          <w:tab w:val="left" w:pos="1701"/>
        </w:tabs>
        <w:suppressAutoHyphens w:val="0"/>
        <w:spacing w:after="0"/>
        <w:ind w:hanging="2628"/>
        <w:jc w:val="both"/>
        <w:rPr>
          <w:rFonts w:ascii="Arial" w:hAnsi="Arial" w:cs="Arial"/>
          <w:sz w:val="22"/>
          <w:szCs w:val="22"/>
          <w:lang w:val="en-GB"/>
        </w:rPr>
      </w:pPr>
      <w:r w:rsidRPr="000452F7">
        <w:rPr>
          <w:rFonts w:ascii="Arial" w:hAnsi="Arial" w:cs="Arial"/>
          <w:sz w:val="22"/>
          <w:szCs w:val="22"/>
          <w:lang w:val="en-GB"/>
        </w:rPr>
        <w:t>The survey created a property cutting through a building</w:t>
      </w:r>
      <w:r w:rsidR="00077F6C">
        <w:rPr>
          <w:rFonts w:ascii="Arial" w:hAnsi="Arial" w:cs="Arial"/>
          <w:sz w:val="22"/>
          <w:szCs w:val="22"/>
          <w:lang w:val="en-GB"/>
        </w:rPr>
        <w:t>,</w:t>
      </w:r>
      <w:r w:rsidRPr="000452F7">
        <w:rPr>
          <w:rFonts w:ascii="Arial" w:hAnsi="Arial" w:cs="Arial"/>
          <w:sz w:val="22"/>
          <w:szCs w:val="22"/>
          <w:lang w:val="en-GB"/>
        </w:rPr>
        <w:t xml:space="preserve"> and</w:t>
      </w:r>
    </w:p>
    <w:p w:rsidR="000452F7" w:rsidRPr="000452F7" w:rsidRDefault="000452F7" w:rsidP="000452F7">
      <w:pPr>
        <w:pStyle w:val="ListParagraph"/>
        <w:numPr>
          <w:ilvl w:val="0"/>
          <w:numId w:val="30"/>
        </w:numPr>
        <w:tabs>
          <w:tab w:val="left" w:pos="1134"/>
          <w:tab w:val="left" w:pos="1701"/>
        </w:tabs>
        <w:suppressAutoHyphens w:val="0"/>
        <w:spacing w:after="0"/>
        <w:ind w:left="1701" w:hanging="567"/>
        <w:jc w:val="both"/>
        <w:rPr>
          <w:rFonts w:ascii="Arial" w:hAnsi="Arial" w:cs="Arial"/>
          <w:sz w:val="22"/>
          <w:szCs w:val="22"/>
          <w:lang w:val="en-GB"/>
        </w:rPr>
      </w:pPr>
      <w:r w:rsidRPr="000452F7">
        <w:rPr>
          <w:rFonts w:ascii="Arial" w:hAnsi="Arial" w:cs="Arial"/>
          <w:sz w:val="22"/>
          <w:szCs w:val="22"/>
          <w:lang w:val="en-GB"/>
        </w:rPr>
        <w:t>Bo</w:t>
      </w:r>
      <w:r w:rsidR="00E3214B">
        <w:rPr>
          <w:rFonts w:ascii="Arial" w:hAnsi="Arial" w:cs="Arial"/>
          <w:sz w:val="22"/>
          <w:szCs w:val="22"/>
          <w:lang w:val="en-GB"/>
        </w:rPr>
        <w:t>th transactions, registration of</w:t>
      </w:r>
      <w:r w:rsidRPr="000452F7">
        <w:rPr>
          <w:rFonts w:ascii="Arial" w:hAnsi="Arial" w:cs="Arial"/>
          <w:sz w:val="22"/>
          <w:szCs w:val="22"/>
          <w:lang w:val="en-GB"/>
        </w:rPr>
        <w:t xml:space="preserve"> the remainder of Farm Mabopane No 702–JR and the portion 52 were handled by the same attorneys Maponya Incorporated.</w:t>
      </w:r>
    </w:p>
    <w:p w:rsidR="000452F7" w:rsidRPr="000452F7" w:rsidRDefault="000452F7" w:rsidP="000452F7">
      <w:pPr>
        <w:tabs>
          <w:tab w:val="left" w:pos="1134"/>
          <w:tab w:val="left" w:pos="1701"/>
        </w:tabs>
        <w:spacing w:line="276" w:lineRule="auto"/>
        <w:jc w:val="both"/>
        <w:rPr>
          <w:rFonts w:ascii="Arial" w:hAnsi="Arial" w:cs="Arial"/>
          <w:sz w:val="22"/>
          <w:szCs w:val="22"/>
          <w:lang w:val="en-GB"/>
        </w:rPr>
      </w:pPr>
    </w:p>
    <w:p w:rsidR="000452F7" w:rsidRPr="000452F7" w:rsidRDefault="000452F7" w:rsidP="000452F7">
      <w:pPr>
        <w:tabs>
          <w:tab w:val="left" w:pos="567"/>
          <w:tab w:val="left" w:pos="1134"/>
        </w:tabs>
        <w:spacing w:line="276" w:lineRule="auto"/>
        <w:ind w:left="1127" w:hanging="560"/>
        <w:jc w:val="both"/>
        <w:rPr>
          <w:rFonts w:ascii="Arial" w:hAnsi="Arial" w:cs="Arial"/>
          <w:sz w:val="22"/>
          <w:szCs w:val="22"/>
          <w:lang w:val="en-GB"/>
        </w:rPr>
      </w:pPr>
      <w:r w:rsidRPr="000452F7">
        <w:rPr>
          <w:rFonts w:ascii="Arial" w:hAnsi="Arial" w:cs="Arial"/>
          <w:sz w:val="22"/>
          <w:szCs w:val="22"/>
          <w:lang w:val="en-GB"/>
        </w:rPr>
        <w:t>(b)</w:t>
      </w:r>
      <w:r w:rsidRPr="000452F7">
        <w:rPr>
          <w:rFonts w:ascii="Arial" w:hAnsi="Arial" w:cs="Arial"/>
          <w:sz w:val="22"/>
          <w:szCs w:val="22"/>
          <w:lang w:val="en-GB"/>
        </w:rPr>
        <w:tab/>
        <w:t>Portion 3 of Farm Rietgat No 611–JR (donation to PRASA) is with the State Attorney who was appointed to effect the transfer.</w:t>
      </w:r>
    </w:p>
    <w:p w:rsidR="000452F7" w:rsidRPr="000452F7" w:rsidRDefault="000452F7" w:rsidP="000452F7">
      <w:pPr>
        <w:tabs>
          <w:tab w:val="left" w:pos="567"/>
          <w:tab w:val="left" w:pos="1134"/>
        </w:tabs>
        <w:spacing w:line="276" w:lineRule="auto"/>
        <w:ind w:left="567"/>
        <w:jc w:val="both"/>
        <w:rPr>
          <w:rFonts w:ascii="Arial" w:hAnsi="Arial" w:cs="Arial"/>
          <w:sz w:val="22"/>
          <w:szCs w:val="22"/>
          <w:lang w:val="en-GB"/>
        </w:rPr>
      </w:pPr>
    </w:p>
    <w:p w:rsidR="000452F7" w:rsidRPr="000452F7" w:rsidRDefault="000452F7" w:rsidP="000452F7">
      <w:pPr>
        <w:tabs>
          <w:tab w:val="left" w:pos="567"/>
          <w:tab w:val="left" w:pos="1134"/>
        </w:tabs>
        <w:spacing w:line="276" w:lineRule="auto"/>
        <w:ind w:left="1127"/>
        <w:jc w:val="both"/>
        <w:rPr>
          <w:rFonts w:ascii="Arial" w:hAnsi="Arial" w:cs="Arial"/>
          <w:sz w:val="22"/>
          <w:szCs w:val="22"/>
          <w:lang w:val="en-GB"/>
        </w:rPr>
      </w:pPr>
      <w:r w:rsidRPr="000452F7">
        <w:rPr>
          <w:rFonts w:ascii="Arial" w:hAnsi="Arial" w:cs="Arial"/>
          <w:sz w:val="22"/>
          <w:szCs w:val="22"/>
          <w:lang w:val="en-GB"/>
        </w:rPr>
        <w:tab/>
        <w:t>The ownership of a portion of Portion 52, on which the station is situated, is still in private ownership after having been transferred by the City of Tshwane in 2008, as stated above.  The City of Tshwane committed that they would assist with resolving the issue around the land they sold but has not yet done</w:t>
      </w:r>
      <w:r w:rsidR="00A107A2">
        <w:rPr>
          <w:rFonts w:ascii="Arial" w:hAnsi="Arial" w:cs="Arial"/>
          <w:sz w:val="22"/>
          <w:szCs w:val="22"/>
          <w:lang w:val="en-GB"/>
        </w:rPr>
        <w:t xml:space="preserve"> so</w:t>
      </w:r>
      <w:r w:rsidRPr="000452F7">
        <w:rPr>
          <w:rFonts w:ascii="Arial" w:hAnsi="Arial" w:cs="Arial"/>
          <w:sz w:val="22"/>
          <w:szCs w:val="22"/>
          <w:lang w:val="en-GB"/>
        </w:rPr>
        <w:t>.  The land must be urgently acquired, either through negotiations or expropriation.</w:t>
      </w:r>
    </w:p>
    <w:p w:rsidR="000452F7" w:rsidRPr="000452F7" w:rsidRDefault="000452F7" w:rsidP="000452F7">
      <w:pPr>
        <w:tabs>
          <w:tab w:val="left" w:pos="1134"/>
        </w:tabs>
        <w:spacing w:line="276" w:lineRule="auto"/>
        <w:jc w:val="both"/>
        <w:rPr>
          <w:rFonts w:ascii="Arial" w:hAnsi="Arial" w:cs="Arial"/>
          <w:sz w:val="22"/>
          <w:szCs w:val="22"/>
          <w:lang w:val="en-GB"/>
        </w:rPr>
      </w:pPr>
    </w:p>
    <w:p w:rsidR="000452F7" w:rsidRPr="000452F7" w:rsidRDefault="000452F7" w:rsidP="000452F7">
      <w:pPr>
        <w:pStyle w:val="ListParagraph"/>
        <w:numPr>
          <w:ilvl w:val="0"/>
          <w:numId w:val="29"/>
        </w:numPr>
        <w:tabs>
          <w:tab w:val="left" w:pos="567"/>
        </w:tabs>
        <w:suppressAutoHyphens w:val="0"/>
        <w:spacing w:after="0"/>
        <w:ind w:left="567" w:hanging="567"/>
        <w:jc w:val="both"/>
        <w:rPr>
          <w:rFonts w:ascii="Arial" w:hAnsi="Arial" w:cs="Arial"/>
          <w:sz w:val="22"/>
          <w:szCs w:val="22"/>
          <w:lang w:val="en-GB"/>
        </w:rPr>
      </w:pPr>
      <w:r w:rsidRPr="000452F7">
        <w:rPr>
          <w:rFonts w:ascii="Arial" w:hAnsi="Arial" w:cs="Arial"/>
          <w:sz w:val="22"/>
          <w:szCs w:val="22"/>
          <w:lang w:val="en-GB"/>
        </w:rPr>
        <w:t>(a), (b) and (c)</w:t>
      </w:r>
    </w:p>
    <w:p w:rsidR="000452F7" w:rsidRPr="000452F7" w:rsidRDefault="00A107A2" w:rsidP="000452F7">
      <w:pPr>
        <w:pStyle w:val="ListParagraph"/>
        <w:tabs>
          <w:tab w:val="left" w:pos="1134"/>
        </w:tabs>
        <w:spacing w:after="0"/>
        <w:ind w:left="567"/>
        <w:jc w:val="both"/>
        <w:rPr>
          <w:rFonts w:ascii="Arial" w:hAnsi="Arial" w:cs="Arial"/>
          <w:sz w:val="22"/>
          <w:szCs w:val="22"/>
          <w:lang w:val="en-GB"/>
        </w:rPr>
      </w:pPr>
      <w:r>
        <w:rPr>
          <w:rFonts w:ascii="Arial" w:hAnsi="Arial" w:cs="Arial"/>
          <w:sz w:val="22"/>
          <w:szCs w:val="22"/>
          <w:lang w:val="en-GB"/>
        </w:rPr>
        <w:t>P</w:t>
      </w:r>
      <w:r w:rsidRPr="00A107A2">
        <w:rPr>
          <w:rFonts w:ascii="Arial" w:hAnsi="Arial" w:cs="Arial"/>
          <w:sz w:val="22"/>
          <w:szCs w:val="22"/>
          <w:lang w:val="en-GB"/>
        </w:rPr>
        <w:t xml:space="preserve">roject planning </w:t>
      </w:r>
      <w:r>
        <w:rPr>
          <w:rFonts w:ascii="Arial" w:hAnsi="Arial" w:cs="Arial"/>
          <w:sz w:val="22"/>
          <w:szCs w:val="22"/>
          <w:lang w:val="en-GB"/>
        </w:rPr>
        <w:t xml:space="preserve">for the improvement and upgrade of Mabopane Station commenced during </w:t>
      </w:r>
      <w:r w:rsidRPr="00A107A2">
        <w:rPr>
          <w:rFonts w:ascii="Arial" w:hAnsi="Arial" w:cs="Arial"/>
          <w:sz w:val="22"/>
          <w:szCs w:val="22"/>
          <w:lang w:val="en-GB"/>
        </w:rPr>
        <w:t xml:space="preserve">2013/14. </w:t>
      </w:r>
      <w:r w:rsidR="000452F7" w:rsidRPr="000452F7">
        <w:rPr>
          <w:rFonts w:ascii="Arial" w:hAnsi="Arial" w:cs="Arial"/>
          <w:sz w:val="22"/>
          <w:szCs w:val="22"/>
          <w:lang w:val="en-GB"/>
        </w:rPr>
        <w:t xml:space="preserve">The zoning and land ownership issues </w:t>
      </w:r>
      <w:r>
        <w:rPr>
          <w:rFonts w:ascii="Arial" w:hAnsi="Arial" w:cs="Arial"/>
          <w:sz w:val="22"/>
          <w:szCs w:val="22"/>
          <w:lang w:val="en-GB"/>
        </w:rPr>
        <w:t xml:space="preserve">was </w:t>
      </w:r>
      <w:r w:rsidR="000452F7" w:rsidRPr="000452F7">
        <w:rPr>
          <w:rFonts w:ascii="Arial" w:hAnsi="Arial" w:cs="Arial"/>
          <w:sz w:val="22"/>
          <w:szCs w:val="22"/>
          <w:lang w:val="en-GB"/>
        </w:rPr>
        <w:t>known by PRASA and the City of Tshwane</w:t>
      </w:r>
      <w:r>
        <w:rPr>
          <w:rFonts w:ascii="Arial" w:hAnsi="Arial" w:cs="Arial"/>
          <w:sz w:val="22"/>
          <w:szCs w:val="22"/>
          <w:lang w:val="en-GB"/>
        </w:rPr>
        <w:t xml:space="preserve">. </w:t>
      </w:r>
      <w:r w:rsidR="000452F7" w:rsidRPr="000452F7">
        <w:rPr>
          <w:rFonts w:ascii="Arial" w:hAnsi="Arial" w:cs="Arial"/>
          <w:sz w:val="22"/>
          <w:szCs w:val="22"/>
          <w:lang w:val="en-GB"/>
        </w:rPr>
        <w:t xml:space="preserve">As the building was </w:t>
      </w:r>
      <w:r w:rsidR="00B2596A">
        <w:rPr>
          <w:rFonts w:ascii="Arial" w:hAnsi="Arial" w:cs="Arial"/>
          <w:sz w:val="22"/>
          <w:szCs w:val="22"/>
          <w:lang w:val="en-GB"/>
        </w:rPr>
        <w:t xml:space="preserve">in </w:t>
      </w:r>
      <w:r w:rsidR="00B2596A" w:rsidRPr="000452F7">
        <w:rPr>
          <w:rFonts w:ascii="Arial" w:hAnsi="Arial" w:cs="Arial"/>
          <w:sz w:val="22"/>
          <w:szCs w:val="22"/>
          <w:lang w:val="en-GB"/>
        </w:rPr>
        <w:t>exist</w:t>
      </w:r>
      <w:r w:rsidR="00B2596A">
        <w:rPr>
          <w:rFonts w:ascii="Arial" w:hAnsi="Arial" w:cs="Arial"/>
          <w:sz w:val="22"/>
          <w:szCs w:val="22"/>
          <w:lang w:val="en-GB"/>
        </w:rPr>
        <w:t xml:space="preserve">ence </w:t>
      </w:r>
      <w:r w:rsidR="000452F7" w:rsidRPr="000452F7">
        <w:rPr>
          <w:rFonts w:ascii="Arial" w:hAnsi="Arial" w:cs="Arial"/>
          <w:sz w:val="22"/>
          <w:szCs w:val="22"/>
          <w:lang w:val="en-GB"/>
        </w:rPr>
        <w:t>and only to be upgraded, the construction team, relied on the provision of subsection 4 of the National Building Regulations and Building Standard Act 103 of 1997 which prescribes that:</w:t>
      </w:r>
    </w:p>
    <w:p w:rsidR="000452F7" w:rsidRPr="000452F7" w:rsidRDefault="000452F7" w:rsidP="000452F7">
      <w:pPr>
        <w:pStyle w:val="ListParagraph"/>
        <w:tabs>
          <w:tab w:val="left" w:pos="1134"/>
        </w:tabs>
        <w:spacing w:after="0"/>
        <w:ind w:left="567"/>
        <w:jc w:val="both"/>
        <w:rPr>
          <w:rFonts w:ascii="Arial" w:hAnsi="Arial" w:cs="Arial"/>
          <w:sz w:val="22"/>
          <w:szCs w:val="22"/>
          <w:lang w:val="en-GB"/>
        </w:rPr>
      </w:pPr>
    </w:p>
    <w:p w:rsidR="000452F7" w:rsidRPr="000452F7" w:rsidRDefault="000452F7" w:rsidP="000452F7">
      <w:pPr>
        <w:pStyle w:val="ListParagraph"/>
        <w:tabs>
          <w:tab w:val="left" w:pos="1134"/>
        </w:tabs>
        <w:spacing w:after="0"/>
        <w:ind w:left="567"/>
        <w:jc w:val="both"/>
        <w:rPr>
          <w:rFonts w:ascii="Arial" w:hAnsi="Arial" w:cs="Arial"/>
          <w:sz w:val="22"/>
          <w:szCs w:val="22"/>
          <w:lang w:val="en-GB"/>
        </w:rPr>
      </w:pPr>
      <w:r w:rsidRPr="000452F7">
        <w:rPr>
          <w:rFonts w:ascii="Arial" w:hAnsi="Arial" w:cs="Arial"/>
          <w:i/>
          <w:sz w:val="22"/>
          <w:szCs w:val="22"/>
          <w:lang w:val="en-GB"/>
        </w:rPr>
        <w:t xml:space="preserve">“…in respect of any building to be erected by or on behalf of the State, such plans, specifications and certificate as may be prescribed by national building regulation, shall before the commencement of such erection be lodged with the local authority in question </w:t>
      </w:r>
      <w:r w:rsidRPr="000452F7">
        <w:rPr>
          <w:rFonts w:ascii="Arial" w:hAnsi="Arial" w:cs="Arial"/>
          <w:b/>
          <w:i/>
          <w:sz w:val="22"/>
          <w:szCs w:val="22"/>
          <w:lang w:val="en-GB"/>
        </w:rPr>
        <w:t>for its information and comment</w:t>
      </w:r>
      <w:r w:rsidRPr="000452F7">
        <w:rPr>
          <w:rFonts w:ascii="Arial" w:hAnsi="Arial" w:cs="Arial"/>
          <w:sz w:val="22"/>
          <w:szCs w:val="22"/>
          <w:lang w:val="en-GB"/>
        </w:rPr>
        <w:t>”</w:t>
      </w:r>
      <w:r>
        <w:rPr>
          <w:rFonts w:ascii="Arial" w:hAnsi="Arial" w:cs="Arial"/>
          <w:sz w:val="22"/>
          <w:szCs w:val="22"/>
          <w:lang w:val="en-GB"/>
        </w:rPr>
        <w:t>.</w:t>
      </w:r>
    </w:p>
    <w:p w:rsidR="000452F7" w:rsidRPr="000452F7" w:rsidRDefault="000452F7" w:rsidP="000452F7">
      <w:pPr>
        <w:pStyle w:val="ListParagraph"/>
        <w:tabs>
          <w:tab w:val="left" w:pos="1134"/>
        </w:tabs>
        <w:spacing w:after="0"/>
        <w:ind w:left="567"/>
        <w:jc w:val="both"/>
        <w:rPr>
          <w:rFonts w:ascii="Arial" w:hAnsi="Arial" w:cs="Arial"/>
          <w:sz w:val="22"/>
          <w:szCs w:val="22"/>
          <w:lang w:val="en-GB"/>
        </w:rPr>
      </w:pPr>
    </w:p>
    <w:p w:rsidR="000452F7" w:rsidRPr="000452F7" w:rsidRDefault="000452F7" w:rsidP="000452F7">
      <w:pPr>
        <w:pStyle w:val="ListParagraph"/>
        <w:tabs>
          <w:tab w:val="left" w:pos="1134"/>
        </w:tabs>
        <w:spacing w:after="0"/>
        <w:ind w:left="567"/>
        <w:jc w:val="both"/>
        <w:rPr>
          <w:rFonts w:ascii="Arial" w:hAnsi="Arial" w:cs="Arial"/>
          <w:sz w:val="22"/>
          <w:szCs w:val="22"/>
          <w:lang w:val="en-GB"/>
        </w:rPr>
      </w:pPr>
      <w:r w:rsidRPr="000452F7">
        <w:rPr>
          <w:rFonts w:ascii="Arial" w:hAnsi="Arial" w:cs="Arial"/>
          <w:sz w:val="22"/>
          <w:szCs w:val="22"/>
          <w:lang w:val="en-GB"/>
        </w:rPr>
        <w:lastRenderedPageBreak/>
        <w:t>Construction work therefore commenced on the basis of subsection 4 as set out above and no</w:t>
      </w:r>
      <w:r>
        <w:rPr>
          <w:rFonts w:ascii="Arial" w:hAnsi="Arial" w:cs="Arial"/>
          <w:sz w:val="22"/>
          <w:szCs w:val="22"/>
          <w:lang w:val="en-GB"/>
        </w:rPr>
        <w:t xml:space="preserve"> </w:t>
      </w:r>
      <w:r w:rsidRPr="000452F7">
        <w:rPr>
          <w:rFonts w:ascii="Arial" w:hAnsi="Arial" w:cs="Arial"/>
          <w:sz w:val="22"/>
          <w:szCs w:val="22"/>
          <w:lang w:val="en-GB"/>
        </w:rPr>
        <w:t xml:space="preserve">building plans were lodged </w:t>
      </w:r>
      <w:r w:rsidR="00E3214B">
        <w:rPr>
          <w:rFonts w:ascii="Arial" w:hAnsi="Arial" w:cs="Arial"/>
          <w:sz w:val="22"/>
          <w:szCs w:val="22"/>
          <w:lang w:val="en-GB"/>
        </w:rPr>
        <w:t xml:space="preserve">for </w:t>
      </w:r>
      <w:r w:rsidRPr="000452F7">
        <w:rPr>
          <w:rFonts w:ascii="Arial" w:hAnsi="Arial" w:cs="Arial"/>
          <w:sz w:val="22"/>
          <w:szCs w:val="22"/>
          <w:lang w:val="en-GB"/>
        </w:rPr>
        <w:t>approval.</w:t>
      </w:r>
    </w:p>
    <w:p w:rsidR="000452F7" w:rsidRPr="000452F7" w:rsidRDefault="000452F7" w:rsidP="000452F7">
      <w:pPr>
        <w:pStyle w:val="ListParagraph"/>
        <w:tabs>
          <w:tab w:val="left" w:pos="1134"/>
        </w:tabs>
        <w:spacing w:after="0"/>
        <w:ind w:left="567"/>
        <w:jc w:val="both"/>
        <w:rPr>
          <w:rFonts w:ascii="Arial" w:hAnsi="Arial" w:cs="Arial"/>
          <w:sz w:val="22"/>
          <w:szCs w:val="22"/>
          <w:lang w:val="en-GB"/>
        </w:rPr>
      </w:pPr>
    </w:p>
    <w:p w:rsidR="000452F7" w:rsidRPr="000452F7" w:rsidRDefault="000452F7" w:rsidP="000452F7">
      <w:pPr>
        <w:pStyle w:val="ListParagraph"/>
        <w:tabs>
          <w:tab w:val="left" w:pos="1134"/>
        </w:tabs>
        <w:spacing w:after="0"/>
        <w:ind w:left="567"/>
        <w:jc w:val="both"/>
        <w:rPr>
          <w:rFonts w:ascii="Arial" w:hAnsi="Arial" w:cs="Arial"/>
          <w:sz w:val="22"/>
          <w:szCs w:val="22"/>
          <w:lang w:val="en-GB"/>
        </w:rPr>
      </w:pPr>
      <w:r w:rsidRPr="000452F7">
        <w:rPr>
          <w:rFonts w:ascii="Arial" w:hAnsi="Arial" w:cs="Arial"/>
          <w:sz w:val="22"/>
          <w:szCs w:val="22"/>
          <w:lang w:val="en-GB"/>
        </w:rPr>
        <w:t xml:space="preserve">However, </w:t>
      </w:r>
      <w:r w:rsidR="00B2596A">
        <w:rPr>
          <w:rFonts w:ascii="Arial" w:hAnsi="Arial" w:cs="Arial"/>
          <w:sz w:val="22"/>
          <w:szCs w:val="22"/>
          <w:lang w:val="en-GB"/>
        </w:rPr>
        <w:t xml:space="preserve">in 2018, </w:t>
      </w:r>
      <w:r w:rsidRPr="000452F7">
        <w:rPr>
          <w:rFonts w:ascii="Arial" w:hAnsi="Arial" w:cs="Arial"/>
          <w:sz w:val="22"/>
          <w:szCs w:val="22"/>
          <w:lang w:val="en-GB"/>
        </w:rPr>
        <w:t xml:space="preserve">PRASA lodged building plans </w:t>
      </w:r>
      <w:r w:rsidR="00B2596A">
        <w:rPr>
          <w:rFonts w:ascii="Arial" w:hAnsi="Arial" w:cs="Arial"/>
          <w:sz w:val="22"/>
          <w:szCs w:val="22"/>
          <w:lang w:val="en-GB"/>
        </w:rPr>
        <w:t xml:space="preserve">for </w:t>
      </w:r>
      <w:r w:rsidRPr="000452F7">
        <w:rPr>
          <w:rFonts w:ascii="Arial" w:hAnsi="Arial" w:cs="Arial"/>
          <w:sz w:val="22"/>
          <w:szCs w:val="22"/>
          <w:lang w:val="en-GB"/>
        </w:rPr>
        <w:t xml:space="preserve">the Mabopane Concourse with </w:t>
      </w:r>
      <w:r w:rsidR="00B2596A">
        <w:rPr>
          <w:rFonts w:ascii="Arial" w:hAnsi="Arial" w:cs="Arial"/>
          <w:sz w:val="22"/>
          <w:szCs w:val="22"/>
          <w:lang w:val="en-GB"/>
        </w:rPr>
        <w:t xml:space="preserve">the </w:t>
      </w:r>
      <w:r w:rsidRPr="000452F7">
        <w:rPr>
          <w:rFonts w:ascii="Arial" w:hAnsi="Arial" w:cs="Arial"/>
          <w:sz w:val="22"/>
          <w:szCs w:val="22"/>
          <w:lang w:val="en-GB"/>
        </w:rPr>
        <w:t>City of Tshwane to be considered and/or approved.  Following submission of the plans, several meetings were held with the City of Tshwane’s Planning Department and the latter eventually communicated on 27 September 2019 that:</w:t>
      </w:r>
    </w:p>
    <w:p w:rsidR="000452F7" w:rsidRPr="000452F7" w:rsidRDefault="000452F7" w:rsidP="000452F7">
      <w:pPr>
        <w:pStyle w:val="ListParagraph"/>
        <w:tabs>
          <w:tab w:val="left" w:pos="1134"/>
        </w:tabs>
        <w:spacing w:after="0"/>
        <w:ind w:left="567"/>
        <w:jc w:val="both"/>
        <w:rPr>
          <w:rFonts w:ascii="Arial" w:hAnsi="Arial" w:cs="Arial"/>
          <w:sz w:val="22"/>
          <w:szCs w:val="22"/>
          <w:lang w:val="en-GB"/>
        </w:rPr>
      </w:pPr>
    </w:p>
    <w:p w:rsidR="000452F7" w:rsidRPr="000452F7" w:rsidRDefault="000452F7" w:rsidP="000452F7">
      <w:pPr>
        <w:pStyle w:val="ListParagraph"/>
        <w:numPr>
          <w:ilvl w:val="0"/>
          <w:numId w:val="32"/>
        </w:numPr>
        <w:tabs>
          <w:tab w:val="left" w:pos="1134"/>
        </w:tabs>
        <w:suppressAutoHyphens w:val="0"/>
        <w:spacing w:after="0"/>
        <w:ind w:left="1134" w:hanging="567"/>
        <w:jc w:val="both"/>
        <w:rPr>
          <w:rFonts w:ascii="Arial" w:hAnsi="Arial" w:cs="Arial"/>
          <w:sz w:val="22"/>
          <w:szCs w:val="22"/>
          <w:lang w:val="en-GB"/>
        </w:rPr>
      </w:pPr>
      <w:r w:rsidRPr="000452F7">
        <w:rPr>
          <w:rFonts w:ascii="Arial" w:hAnsi="Arial" w:cs="Arial"/>
          <w:sz w:val="22"/>
          <w:szCs w:val="22"/>
          <w:lang w:val="en-GB"/>
        </w:rPr>
        <w:t>the plans submitted to City of Tshwane’s Planning Departme</w:t>
      </w:r>
      <w:r w:rsidR="00B2596A">
        <w:rPr>
          <w:rFonts w:ascii="Arial" w:hAnsi="Arial" w:cs="Arial"/>
          <w:sz w:val="22"/>
          <w:szCs w:val="22"/>
          <w:lang w:val="en-GB"/>
        </w:rPr>
        <w:t>nt by PRASA cannot be supported,</w:t>
      </w:r>
    </w:p>
    <w:p w:rsidR="000452F7" w:rsidRPr="000452F7" w:rsidRDefault="000452F7" w:rsidP="000452F7">
      <w:pPr>
        <w:pStyle w:val="ListParagraph"/>
        <w:numPr>
          <w:ilvl w:val="0"/>
          <w:numId w:val="32"/>
        </w:numPr>
        <w:tabs>
          <w:tab w:val="left" w:pos="1134"/>
        </w:tabs>
        <w:suppressAutoHyphens w:val="0"/>
        <w:spacing w:after="0"/>
        <w:ind w:left="1134" w:hanging="567"/>
        <w:jc w:val="both"/>
        <w:rPr>
          <w:rFonts w:ascii="Arial" w:hAnsi="Arial" w:cs="Arial"/>
          <w:sz w:val="22"/>
          <w:szCs w:val="22"/>
          <w:lang w:val="en-GB"/>
        </w:rPr>
      </w:pPr>
      <w:r w:rsidRPr="000452F7">
        <w:rPr>
          <w:rFonts w:ascii="Arial" w:hAnsi="Arial" w:cs="Arial"/>
          <w:sz w:val="22"/>
          <w:szCs w:val="22"/>
          <w:lang w:val="en-GB"/>
        </w:rPr>
        <w:t xml:space="preserve">the Occupation Certificate cannot be issued due to the Station Precinct, stretching over a number of erven (Erf 611/43, Rietgat and the remaining extend of </w:t>
      </w:r>
      <w:r w:rsidR="00E3214B">
        <w:rPr>
          <w:rFonts w:ascii="Arial" w:hAnsi="Arial" w:cs="Arial"/>
          <w:sz w:val="22"/>
          <w:szCs w:val="22"/>
          <w:lang w:val="en-GB"/>
        </w:rPr>
        <w:t xml:space="preserve">portion </w:t>
      </w:r>
      <w:r w:rsidRPr="000452F7">
        <w:rPr>
          <w:rFonts w:ascii="Arial" w:hAnsi="Arial" w:cs="Arial"/>
          <w:sz w:val="22"/>
          <w:szCs w:val="22"/>
          <w:lang w:val="en-GB"/>
        </w:rPr>
        <w:t>3 and 52 of Rietgat) and</w:t>
      </w:r>
    </w:p>
    <w:p w:rsidR="000452F7" w:rsidRPr="000452F7" w:rsidRDefault="000452F7" w:rsidP="000452F7">
      <w:pPr>
        <w:pStyle w:val="ListParagraph"/>
        <w:numPr>
          <w:ilvl w:val="0"/>
          <w:numId w:val="32"/>
        </w:numPr>
        <w:tabs>
          <w:tab w:val="left" w:pos="1134"/>
        </w:tabs>
        <w:suppressAutoHyphens w:val="0"/>
        <w:spacing w:after="0"/>
        <w:ind w:left="1134" w:hanging="567"/>
        <w:jc w:val="both"/>
        <w:rPr>
          <w:rFonts w:ascii="Arial" w:hAnsi="Arial" w:cs="Arial"/>
          <w:sz w:val="22"/>
          <w:szCs w:val="22"/>
          <w:lang w:val="en-GB"/>
        </w:rPr>
      </w:pPr>
      <w:r w:rsidRPr="000452F7">
        <w:rPr>
          <w:rFonts w:ascii="Arial" w:hAnsi="Arial" w:cs="Arial"/>
          <w:sz w:val="22"/>
          <w:szCs w:val="22"/>
          <w:lang w:val="en-GB"/>
        </w:rPr>
        <w:t>the land parcels and rights is not supporting the current use.</w:t>
      </w:r>
    </w:p>
    <w:p w:rsidR="000452F7" w:rsidRPr="000452F7" w:rsidRDefault="000452F7" w:rsidP="000452F7">
      <w:pPr>
        <w:pStyle w:val="ListParagraph"/>
        <w:tabs>
          <w:tab w:val="left" w:pos="1134"/>
        </w:tabs>
        <w:spacing w:after="0"/>
        <w:ind w:left="567"/>
        <w:jc w:val="both"/>
        <w:rPr>
          <w:rFonts w:ascii="Arial" w:hAnsi="Arial" w:cs="Arial"/>
          <w:sz w:val="22"/>
          <w:szCs w:val="22"/>
          <w:lang w:val="en-GB"/>
        </w:rPr>
      </w:pPr>
    </w:p>
    <w:p w:rsidR="000452F7" w:rsidRPr="000452F7" w:rsidRDefault="000452F7" w:rsidP="000452F7">
      <w:pPr>
        <w:pStyle w:val="ListParagraph"/>
        <w:numPr>
          <w:ilvl w:val="0"/>
          <w:numId w:val="29"/>
        </w:numPr>
        <w:suppressAutoHyphens w:val="0"/>
        <w:spacing w:after="0"/>
        <w:ind w:left="567" w:hanging="567"/>
        <w:jc w:val="both"/>
        <w:rPr>
          <w:rFonts w:ascii="Arial" w:hAnsi="Arial" w:cs="Arial"/>
          <w:sz w:val="22"/>
          <w:szCs w:val="22"/>
          <w:lang w:val="en-GB"/>
        </w:rPr>
      </w:pPr>
      <w:r w:rsidRPr="000452F7">
        <w:rPr>
          <w:rFonts w:ascii="Arial" w:hAnsi="Arial" w:cs="Arial"/>
          <w:sz w:val="22"/>
          <w:szCs w:val="22"/>
          <w:lang w:val="en-GB"/>
        </w:rPr>
        <w:t>There is currently a security contract</w:t>
      </w:r>
      <w:r w:rsidR="0025776E">
        <w:rPr>
          <w:rFonts w:ascii="Arial" w:hAnsi="Arial" w:cs="Arial"/>
          <w:sz w:val="22"/>
          <w:szCs w:val="22"/>
          <w:lang w:val="en-GB"/>
        </w:rPr>
        <w:t>s</w:t>
      </w:r>
      <w:r w:rsidRPr="000452F7">
        <w:rPr>
          <w:rFonts w:ascii="Arial" w:hAnsi="Arial" w:cs="Arial"/>
          <w:sz w:val="22"/>
          <w:szCs w:val="22"/>
          <w:lang w:val="en-GB"/>
        </w:rPr>
        <w:t xml:space="preserve"> in place on the Mabopane – Pretoria corridor.  Personnel has been deployed compromising of both PRASA internal security and those sourced through private security companies. To date</w:t>
      </w:r>
      <w:r w:rsidR="0025776E">
        <w:rPr>
          <w:rFonts w:ascii="Arial" w:hAnsi="Arial" w:cs="Arial"/>
          <w:sz w:val="22"/>
          <w:szCs w:val="22"/>
          <w:lang w:val="en-GB"/>
        </w:rPr>
        <w:t>,</w:t>
      </w:r>
      <w:r w:rsidRPr="000452F7">
        <w:rPr>
          <w:rFonts w:ascii="Arial" w:hAnsi="Arial" w:cs="Arial"/>
          <w:sz w:val="22"/>
          <w:szCs w:val="22"/>
          <w:lang w:val="en-GB"/>
        </w:rPr>
        <w:t xml:space="preserve"> there has been no vandalism or crime incidents reported since the deployments.</w:t>
      </w:r>
    </w:p>
    <w:p w:rsidR="000452F7" w:rsidRPr="000452F7" w:rsidRDefault="000452F7" w:rsidP="000452F7">
      <w:pPr>
        <w:pStyle w:val="ListParagraph"/>
        <w:tabs>
          <w:tab w:val="left" w:pos="1134"/>
        </w:tabs>
        <w:spacing w:after="0"/>
        <w:ind w:left="567"/>
        <w:jc w:val="both"/>
        <w:rPr>
          <w:rFonts w:ascii="Arial" w:hAnsi="Arial" w:cs="Arial"/>
          <w:sz w:val="22"/>
          <w:szCs w:val="22"/>
          <w:lang w:val="en-GB"/>
        </w:rPr>
      </w:pPr>
    </w:p>
    <w:bookmarkEnd w:id="0"/>
    <w:p w:rsidR="000452F7" w:rsidRPr="00AE0BF2" w:rsidRDefault="00A07FD5" w:rsidP="000452F7">
      <w:pPr>
        <w:pStyle w:val="ListParagraph"/>
        <w:numPr>
          <w:ilvl w:val="0"/>
          <w:numId w:val="29"/>
        </w:numPr>
        <w:tabs>
          <w:tab w:val="left" w:pos="567"/>
        </w:tabs>
        <w:suppressAutoHyphens w:val="0"/>
        <w:spacing w:after="0"/>
        <w:ind w:left="567" w:hanging="567"/>
        <w:jc w:val="both"/>
        <w:rPr>
          <w:rFonts w:ascii="Arial" w:hAnsi="Arial" w:cs="Arial"/>
          <w:color w:val="000000"/>
          <w:sz w:val="22"/>
          <w:szCs w:val="22"/>
          <w:lang w:val="en-GB"/>
        </w:rPr>
      </w:pPr>
      <w:r w:rsidRPr="00AE0BF2">
        <w:rPr>
          <w:rFonts w:ascii="Arial" w:hAnsi="Arial" w:cs="Arial"/>
          <w:color w:val="000000"/>
          <w:sz w:val="22"/>
          <w:szCs w:val="22"/>
          <w:lang w:val="en-GB"/>
        </w:rPr>
        <w:t>PRASA has deployed 160 permanently employed security officers on the corridor.  The private security contract expires in September 2022.</w:t>
      </w:r>
    </w:p>
    <w:p w:rsidR="001D7FF3" w:rsidRPr="00082ADE" w:rsidRDefault="001D7FF3" w:rsidP="000452F7">
      <w:pPr>
        <w:spacing w:line="276" w:lineRule="auto"/>
        <w:jc w:val="both"/>
        <w:rPr>
          <w:rFonts w:ascii="Arial" w:eastAsia="Calibri" w:hAnsi="Arial" w:cs="Arial"/>
          <w:sz w:val="22"/>
          <w:szCs w:val="22"/>
        </w:rPr>
      </w:pPr>
      <w:bookmarkStart w:id="1" w:name="_Hlk71548594"/>
    </w:p>
    <w:bookmarkEnd w:id="1"/>
    <w:p w:rsidR="003E7A1C" w:rsidRPr="0038097C" w:rsidRDefault="003E7A1C" w:rsidP="00673B92">
      <w:pPr>
        <w:spacing w:line="360" w:lineRule="auto"/>
        <w:jc w:val="both"/>
        <w:rPr>
          <w:rFonts w:ascii="Arial" w:hAnsi="Arial" w:cs="Arial"/>
          <w:bCs/>
          <w:sz w:val="22"/>
          <w:szCs w:val="22"/>
          <w:lang w:val="en-US"/>
        </w:rPr>
      </w:pPr>
    </w:p>
    <w:sectPr w:rsidR="003E7A1C" w:rsidRPr="0038097C" w:rsidSect="00A07FD5">
      <w:pgSz w:w="12240" w:h="15840"/>
      <w:pgMar w:top="1418"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645" w:rsidRDefault="005A1645">
      <w:r>
        <w:separator/>
      </w:r>
    </w:p>
  </w:endnote>
  <w:endnote w:type="continuationSeparator" w:id="0">
    <w:p w:rsidR="005A1645" w:rsidRDefault="005A16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645" w:rsidRDefault="005A1645">
      <w:r>
        <w:separator/>
      </w:r>
    </w:p>
  </w:footnote>
  <w:footnote w:type="continuationSeparator" w:id="0">
    <w:p w:rsidR="005A1645" w:rsidRDefault="005A1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9F817E4"/>
    <w:multiLevelType w:val="hybridMultilevel"/>
    <w:tmpl w:val="370ADDB0"/>
    <w:lvl w:ilvl="0" w:tplc="89D8C780">
      <w:start w:val="1"/>
      <w:numFmt w:val="decimal"/>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5">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F547B2"/>
    <w:multiLevelType w:val="hybridMultilevel"/>
    <w:tmpl w:val="8202274C"/>
    <w:lvl w:ilvl="0" w:tplc="DCB6C4F2">
      <w:start w:val="1"/>
      <w:numFmt w:val="decimal"/>
      <w:lvlText w:val="(%1)"/>
      <w:lvlJc w:val="left"/>
      <w:pPr>
        <w:ind w:left="1494" w:hanging="360"/>
      </w:pPr>
      <w:rPr>
        <w:rFonts w:ascii="Arial" w:eastAsia="Calibri" w:hAnsi="Arial" w:cs="Arial"/>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7">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2BB357B"/>
    <w:multiLevelType w:val="hybridMultilevel"/>
    <w:tmpl w:val="39D0552A"/>
    <w:lvl w:ilvl="0" w:tplc="419C5FA8">
      <w:numFmt w:val="bullet"/>
      <w:lvlText w:val="-"/>
      <w:lvlJc w:val="left"/>
      <w:pPr>
        <w:ind w:left="2060" w:hanging="360"/>
      </w:pPr>
      <w:rPr>
        <w:rFonts w:ascii="Arial" w:eastAsia="Calibri" w:hAnsi="Arial" w:cs="Arial" w:hint="default"/>
      </w:rPr>
    </w:lvl>
    <w:lvl w:ilvl="1" w:tplc="1C090003" w:tentative="1">
      <w:start w:val="1"/>
      <w:numFmt w:val="bullet"/>
      <w:lvlText w:val="o"/>
      <w:lvlJc w:val="left"/>
      <w:pPr>
        <w:ind w:left="2780" w:hanging="360"/>
      </w:pPr>
      <w:rPr>
        <w:rFonts w:ascii="Courier New" w:hAnsi="Courier New" w:cs="Courier New" w:hint="default"/>
      </w:rPr>
    </w:lvl>
    <w:lvl w:ilvl="2" w:tplc="1C090005" w:tentative="1">
      <w:start w:val="1"/>
      <w:numFmt w:val="bullet"/>
      <w:lvlText w:val=""/>
      <w:lvlJc w:val="left"/>
      <w:pPr>
        <w:ind w:left="3500" w:hanging="360"/>
      </w:pPr>
      <w:rPr>
        <w:rFonts w:ascii="Wingdings" w:hAnsi="Wingdings" w:hint="default"/>
      </w:rPr>
    </w:lvl>
    <w:lvl w:ilvl="3" w:tplc="1C090001" w:tentative="1">
      <w:start w:val="1"/>
      <w:numFmt w:val="bullet"/>
      <w:lvlText w:val=""/>
      <w:lvlJc w:val="left"/>
      <w:pPr>
        <w:ind w:left="4220" w:hanging="360"/>
      </w:pPr>
      <w:rPr>
        <w:rFonts w:ascii="Symbol" w:hAnsi="Symbol" w:hint="default"/>
      </w:rPr>
    </w:lvl>
    <w:lvl w:ilvl="4" w:tplc="1C090003" w:tentative="1">
      <w:start w:val="1"/>
      <w:numFmt w:val="bullet"/>
      <w:lvlText w:val="o"/>
      <w:lvlJc w:val="left"/>
      <w:pPr>
        <w:ind w:left="4940" w:hanging="360"/>
      </w:pPr>
      <w:rPr>
        <w:rFonts w:ascii="Courier New" w:hAnsi="Courier New" w:cs="Courier New" w:hint="default"/>
      </w:rPr>
    </w:lvl>
    <w:lvl w:ilvl="5" w:tplc="1C090005" w:tentative="1">
      <w:start w:val="1"/>
      <w:numFmt w:val="bullet"/>
      <w:lvlText w:val=""/>
      <w:lvlJc w:val="left"/>
      <w:pPr>
        <w:ind w:left="5660" w:hanging="360"/>
      </w:pPr>
      <w:rPr>
        <w:rFonts w:ascii="Wingdings" w:hAnsi="Wingdings" w:hint="default"/>
      </w:rPr>
    </w:lvl>
    <w:lvl w:ilvl="6" w:tplc="1C090001" w:tentative="1">
      <w:start w:val="1"/>
      <w:numFmt w:val="bullet"/>
      <w:lvlText w:val=""/>
      <w:lvlJc w:val="left"/>
      <w:pPr>
        <w:ind w:left="6380" w:hanging="360"/>
      </w:pPr>
      <w:rPr>
        <w:rFonts w:ascii="Symbol" w:hAnsi="Symbol" w:hint="default"/>
      </w:rPr>
    </w:lvl>
    <w:lvl w:ilvl="7" w:tplc="1C090003" w:tentative="1">
      <w:start w:val="1"/>
      <w:numFmt w:val="bullet"/>
      <w:lvlText w:val="o"/>
      <w:lvlJc w:val="left"/>
      <w:pPr>
        <w:ind w:left="7100" w:hanging="360"/>
      </w:pPr>
      <w:rPr>
        <w:rFonts w:ascii="Courier New" w:hAnsi="Courier New" w:cs="Courier New" w:hint="default"/>
      </w:rPr>
    </w:lvl>
    <w:lvl w:ilvl="8" w:tplc="1C090005" w:tentative="1">
      <w:start w:val="1"/>
      <w:numFmt w:val="bullet"/>
      <w:lvlText w:val=""/>
      <w:lvlJc w:val="left"/>
      <w:pPr>
        <w:ind w:left="7820" w:hanging="360"/>
      </w:pPr>
      <w:rPr>
        <w:rFonts w:ascii="Wingdings" w:hAnsi="Wingdings" w:hint="default"/>
      </w:rPr>
    </w:lvl>
  </w:abstractNum>
  <w:abstractNum w:abstractNumId="18">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4D679C"/>
    <w:multiLevelType w:val="hybridMultilevel"/>
    <w:tmpl w:val="4C68C53A"/>
    <w:lvl w:ilvl="0" w:tplc="422880D0">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C5F11E8"/>
    <w:multiLevelType w:val="hybridMultilevel"/>
    <w:tmpl w:val="21644C06"/>
    <w:lvl w:ilvl="0" w:tplc="A3B864CA">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D4046F0"/>
    <w:multiLevelType w:val="hybridMultilevel"/>
    <w:tmpl w:val="00D2EB9A"/>
    <w:lvl w:ilvl="0" w:tplc="EBE2F48A">
      <w:start w:val="1"/>
      <w:numFmt w:val="decimal"/>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23">
    <w:nsid w:val="4ECA684E"/>
    <w:multiLevelType w:val="hybridMultilevel"/>
    <w:tmpl w:val="FDA68646"/>
    <w:lvl w:ilvl="0" w:tplc="1C090001">
      <w:start w:val="1"/>
      <w:numFmt w:val="bullet"/>
      <w:lvlText w:val=""/>
      <w:lvlJc w:val="left"/>
      <w:pPr>
        <w:ind w:left="20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6">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9">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A061AE1"/>
    <w:multiLevelType w:val="hybridMultilevel"/>
    <w:tmpl w:val="0114AB74"/>
    <w:lvl w:ilvl="0" w:tplc="1C090001">
      <w:start w:val="1"/>
      <w:numFmt w:val="bullet"/>
      <w:lvlText w:val=""/>
      <w:lvlJc w:val="left"/>
      <w:pPr>
        <w:ind w:left="3762" w:hanging="360"/>
      </w:pPr>
      <w:rPr>
        <w:rFonts w:ascii="Symbol" w:hAnsi="Symbol" w:hint="default"/>
      </w:rPr>
    </w:lvl>
    <w:lvl w:ilvl="1" w:tplc="1C090003" w:tentative="1">
      <w:start w:val="1"/>
      <w:numFmt w:val="bullet"/>
      <w:lvlText w:val="o"/>
      <w:lvlJc w:val="left"/>
      <w:pPr>
        <w:ind w:left="3141" w:hanging="360"/>
      </w:pPr>
      <w:rPr>
        <w:rFonts w:ascii="Courier New" w:hAnsi="Courier New" w:cs="Courier New" w:hint="default"/>
      </w:rPr>
    </w:lvl>
    <w:lvl w:ilvl="2" w:tplc="1C090005">
      <w:start w:val="1"/>
      <w:numFmt w:val="bullet"/>
      <w:lvlText w:val=""/>
      <w:lvlJc w:val="left"/>
      <w:pPr>
        <w:ind w:left="3861" w:hanging="360"/>
      </w:pPr>
      <w:rPr>
        <w:rFonts w:ascii="Wingdings" w:hAnsi="Wingdings" w:hint="default"/>
      </w:rPr>
    </w:lvl>
    <w:lvl w:ilvl="3" w:tplc="1C090001">
      <w:start w:val="1"/>
      <w:numFmt w:val="bullet"/>
      <w:lvlText w:val=""/>
      <w:lvlJc w:val="left"/>
      <w:pPr>
        <w:ind w:left="4581" w:hanging="360"/>
      </w:pPr>
      <w:rPr>
        <w:rFonts w:ascii="Symbol" w:hAnsi="Symbol" w:hint="default"/>
      </w:rPr>
    </w:lvl>
    <w:lvl w:ilvl="4" w:tplc="1C090003" w:tentative="1">
      <w:start w:val="1"/>
      <w:numFmt w:val="bullet"/>
      <w:lvlText w:val="o"/>
      <w:lvlJc w:val="left"/>
      <w:pPr>
        <w:ind w:left="5301" w:hanging="360"/>
      </w:pPr>
      <w:rPr>
        <w:rFonts w:ascii="Courier New" w:hAnsi="Courier New" w:cs="Courier New" w:hint="default"/>
      </w:rPr>
    </w:lvl>
    <w:lvl w:ilvl="5" w:tplc="1C090005" w:tentative="1">
      <w:start w:val="1"/>
      <w:numFmt w:val="bullet"/>
      <w:lvlText w:val=""/>
      <w:lvlJc w:val="left"/>
      <w:pPr>
        <w:ind w:left="6021" w:hanging="360"/>
      </w:pPr>
      <w:rPr>
        <w:rFonts w:ascii="Wingdings" w:hAnsi="Wingdings" w:hint="default"/>
      </w:rPr>
    </w:lvl>
    <w:lvl w:ilvl="6" w:tplc="1C090001" w:tentative="1">
      <w:start w:val="1"/>
      <w:numFmt w:val="bullet"/>
      <w:lvlText w:val=""/>
      <w:lvlJc w:val="left"/>
      <w:pPr>
        <w:ind w:left="6741" w:hanging="360"/>
      </w:pPr>
      <w:rPr>
        <w:rFonts w:ascii="Symbol" w:hAnsi="Symbol" w:hint="default"/>
      </w:rPr>
    </w:lvl>
    <w:lvl w:ilvl="7" w:tplc="1C090003" w:tentative="1">
      <w:start w:val="1"/>
      <w:numFmt w:val="bullet"/>
      <w:lvlText w:val="o"/>
      <w:lvlJc w:val="left"/>
      <w:pPr>
        <w:ind w:left="7461" w:hanging="360"/>
      </w:pPr>
      <w:rPr>
        <w:rFonts w:ascii="Courier New" w:hAnsi="Courier New" w:cs="Courier New" w:hint="default"/>
      </w:rPr>
    </w:lvl>
    <w:lvl w:ilvl="8" w:tplc="1C090005" w:tentative="1">
      <w:start w:val="1"/>
      <w:numFmt w:val="bullet"/>
      <w:lvlText w:val=""/>
      <w:lvlJc w:val="left"/>
      <w:pPr>
        <w:ind w:left="8181" w:hanging="360"/>
      </w:pPr>
      <w:rPr>
        <w:rFonts w:ascii="Wingdings" w:hAnsi="Wingdings" w:hint="default"/>
      </w:rPr>
    </w:lvl>
  </w:abstractNum>
  <w:abstractNum w:abstractNumId="33">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C523945"/>
    <w:multiLevelType w:val="hybridMultilevel"/>
    <w:tmpl w:val="A4ACE8F6"/>
    <w:lvl w:ilvl="0" w:tplc="4BF8EA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5"/>
  </w:num>
  <w:num w:numId="3">
    <w:abstractNumId w:val="29"/>
  </w:num>
  <w:num w:numId="4">
    <w:abstractNumId w:val="31"/>
  </w:num>
  <w:num w:numId="5">
    <w:abstractNumId w:val="26"/>
  </w:num>
  <w:num w:numId="6">
    <w:abstractNumId w:val="20"/>
  </w:num>
  <w:num w:numId="7">
    <w:abstractNumId w:val="14"/>
  </w:num>
  <w:num w:numId="8">
    <w:abstractNumId w:val="8"/>
  </w:num>
  <w:num w:numId="9">
    <w:abstractNumId w:val="27"/>
  </w:num>
  <w:num w:numId="10">
    <w:abstractNumId w:val="12"/>
  </w:num>
  <w:num w:numId="11">
    <w:abstractNumId w:val="10"/>
  </w:num>
  <w:num w:numId="12">
    <w:abstractNumId w:val="16"/>
  </w:num>
  <w:num w:numId="13">
    <w:abstractNumId w:val="5"/>
  </w:num>
  <w:num w:numId="14">
    <w:abstractNumId w:val="30"/>
  </w:num>
  <w:num w:numId="15">
    <w:abstractNumId w:val="25"/>
  </w:num>
  <w:num w:numId="16">
    <w:abstractNumId w:val="28"/>
  </w:num>
  <w:num w:numId="17">
    <w:abstractNumId w:val="0"/>
  </w:num>
  <w:num w:numId="18">
    <w:abstractNumId w:val="24"/>
  </w:num>
  <w:num w:numId="19">
    <w:abstractNumId w:val="18"/>
  </w:num>
  <w:num w:numId="20">
    <w:abstractNumId w:val="13"/>
  </w:num>
  <w:num w:numId="21">
    <w:abstractNumId w:val="1"/>
  </w:num>
  <w:num w:numId="22">
    <w:abstractNumId w:val="2"/>
  </w:num>
  <w:num w:numId="23">
    <w:abstractNumId w:val="9"/>
  </w:num>
  <w:num w:numId="24">
    <w:abstractNumId w:val="3"/>
  </w:num>
  <w:num w:numId="25">
    <w:abstractNumId w:val="33"/>
  </w:num>
  <w:num w:numId="26">
    <w:abstractNumId w:val="7"/>
  </w:num>
  <w:num w:numId="27">
    <w:abstractNumId w:val="4"/>
  </w:num>
  <w:num w:numId="28">
    <w:abstractNumId w:val="6"/>
  </w:num>
  <w:num w:numId="29">
    <w:abstractNumId w:val="19"/>
  </w:num>
  <w:num w:numId="30">
    <w:abstractNumId w:val="32"/>
  </w:num>
  <w:num w:numId="31">
    <w:abstractNumId w:val="17"/>
  </w:num>
  <w:num w:numId="32">
    <w:abstractNumId w:val="23"/>
  </w:num>
  <w:num w:numId="33">
    <w:abstractNumId w:val="21"/>
  </w:num>
  <w:num w:numId="34">
    <w:abstractNumId w:val="34"/>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3E6EEB"/>
    <w:rsid w:val="00000E2E"/>
    <w:rsid w:val="0000307F"/>
    <w:rsid w:val="00014DCA"/>
    <w:rsid w:val="00016BA0"/>
    <w:rsid w:val="00020051"/>
    <w:rsid w:val="0002309F"/>
    <w:rsid w:val="00024C9D"/>
    <w:rsid w:val="000337B8"/>
    <w:rsid w:val="00034087"/>
    <w:rsid w:val="0003638E"/>
    <w:rsid w:val="0004110B"/>
    <w:rsid w:val="00041CC1"/>
    <w:rsid w:val="000424EB"/>
    <w:rsid w:val="000452F7"/>
    <w:rsid w:val="00052E60"/>
    <w:rsid w:val="00064000"/>
    <w:rsid w:val="00077F6C"/>
    <w:rsid w:val="00082ADE"/>
    <w:rsid w:val="000D2FCC"/>
    <w:rsid w:val="000E46E0"/>
    <w:rsid w:val="00107B84"/>
    <w:rsid w:val="00124B06"/>
    <w:rsid w:val="00130913"/>
    <w:rsid w:val="00136739"/>
    <w:rsid w:val="001465BA"/>
    <w:rsid w:val="00152742"/>
    <w:rsid w:val="0019396D"/>
    <w:rsid w:val="001A6EB5"/>
    <w:rsid w:val="001B30FC"/>
    <w:rsid w:val="001B3A9C"/>
    <w:rsid w:val="001B5F04"/>
    <w:rsid w:val="001C0016"/>
    <w:rsid w:val="001D7FF3"/>
    <w:rsid w:val="001E56FC"/>
    <w:rsid w:val="001F04AB"/>
    <w:rsid w:val="00225A2A"/>
    <w:rsid w:val="00226862"/>
    <w:rsid w:val="00235D7B"/>
    <w:rsid w:val="00237995"/>
    <w:rsid w:val="00237C59"/>
    <w:rsid w:val="00240B4F"/>
    <w:rsid w:val="002425A4"/>
    <w:rsid w:val="00242966"/>
    <w:rsid w:val="002455C2"/>
    <w:rsid w:val="002456E4"/>
    <w:rsid w:val="00252FE4"/>
    <w:rsid w:val="0025776E"/>
    <w:rsid w:val="0026496F"/>
    <w:rsid w:val="002765E6"/>
    <w:rsid w:val="00287706"/>
    <w:rsid w:val="002A5A36"/>
    <w:rsid w:val="002A6B98"/>
    <w:rsid w:val="002B33E9"/>
    <w:rsid w:val="002B3521"/>
    <w:rsid w:val="002B4CC3"/>
    <w:rsid w:val="002D4ABF"/>
    <w:rsid w:val="002F3330"/>
    <w:rsid w:val="003148C1"/>
    <w:rsid w:val="00326688"/>
    <w:rsid w:val="00337C35"/>
    <w:rsid w:val="00345018"/>
    <w:rsid w:val="0037735D"/>
    <w:rsid w:val="0038074E"/>
    <w:rsid w:val="0038097C"/>
    <w:rsid w:val="00381F6D"/>
    <w:rsid w:val="00385180"/>
    <w:rsid w:val="00387FEF"/>
    <w:rsid w:val="00392721"/>
    <w:rsid w:val="0039544E"/>
    <w:rsid w:val="00395FAB"/>
    <w:rsid w:val="003A7D7C"/>
    <w:rsid w:val="003B0CD2"/>
    <w:rsid w:val="003C2BBA"/>
    <w:rsid w:val="003C490B"/>
    <w:rsid w:val="003D2356"/>
    <w:rsid w:val="003E6EEB"/>
    <w:rsid w:val="003E7A1C"/>
    <w:rsid w:val="0040324C"/>
    <w:rsid w:val="00411BD1"/>
    <w:rsid w:val="00411F12"/>
    <w:rsid w:val="00431FFB"/>
    <w:rsid w:val="0043348C"/>
    <w:rsid w:val="00437E91"/>
    <w:rsid w:val="004413E4"/>
    <w:rsid w:val="00441BD7"/>
    <w:rsid w:val="00457030"/>
    <w:rsid w:val="00471AD3"/>
    <w:rsid w:val="00480A14"/>
    <w:rsid w:val="00485272"/>
    <w:rsid w:val="004C1EEB"/>
    <w:rsid w:val="004E7C50"/>
    <w:rsid w:val="004F1197"/>
    <w:rsid w:val="00510ACC"/>
    <w:rsid w:val="00510B97"/>
    <w:rsid w:val="0051301F"/>
    <w:rsid w:val="00517714"/>
    <w:rsid w:val="0053543F"/>
    <w:rsid w:val="005A1645"/>
    <w:rsid w:val="005A7D3A"/>
    <w:rsid w:val="005B41E4"/>
    <w:rsid w:val="005B5BA3"/>
    <w:rsid w:val="005C31F0"/>
    <w:rsid w:val="005C59C6"/>
    <w:rsid w:val="005D38A5"/>
    <w:rsid w:val="006022FB"/>
    <w:rsid w:val="006053FE"/>
    <w:rsid w:val="00607381"/>
    <w:rsid w:val="00611598"/>
    <w:rsid w:val="00612A92"/>
    <w:rsid w:val="006348E3"/>
    <w:rsid w:val="00636266"/>
    <w:rsid w:val="006504F0"/>
    <w:rsid w:val="0065290B"/>
    <w:rsid w:val="006532B9"/>
    <w:rsid w:val="00653B72"/>
    <w:rsid w:val="00661147"/>
    <w:rsid w:val="00664844"/>
    <w:rsid w:val="00666D4D"/>
    <w:rsid w:val="006723D4"/>
    <w:rsid w:val="00673B92"/>
    <w:rsid w:val="00675536"/>
    <w:rsid w:val="00677616"/>
    <w:rsid w:val="006A7311"/>
    <w:rsid w:val="006B2B5E"/>
    <w:rsid w:val="006C0D88"/>
    <w:rsid w:val="006E2005"/>
    <w:rsid w:val="006F71AF"/>
    <w:rsid w:val="00700C01"/>
    <w:rsid w:val="007027F7"/>
    <w:rsid w:val="00704C1A"/>
    <w:rsid w:val="007058EE"/>
    <w:rsid w:val="00713973"/>
    <w:rsid w:val="00715A1B"/>
    <w:rsid w:val="00721E32"/>
    <w:rsid w:val="007269C6"/>
    <w:rsid w:val="007277EA"/>
    <w:rsid w:val="007341C8"/>
    <w:rsid w:val="00743EB1"/>
    <w:rsid w:val="00760318"/>
    <w:rsid w:val="00765CB9"/>
    <w:rsid w:val="00774F52"/>
    <w:rsid w:val="0078694D"/>
    <w:rsid w:val="00793DB2"/>
    <w:rsid w:val="007954E9"/>
    <w:rsid w:val="007A1E4C"/>
    <w:rsid w:val="007B5587"/>
    <w:rsid w:val="007B7055"/>
    <w:rsid w:val="007C3628"/>
    <w:rsid w:val="007C49D3"/>
    <w:rsid w:val="007D1DB5"/>
    <w:rsid w:val="007E5609"/>
    <w:rsid w:val="007F4FB6"/>
    <w:rsid w:val="00806B90"/>
    <w:rsid w:val="0082465F"/>
    <w:rsid w:val="008415E3"/>
    <w:rsid w:val="00854EEA"/>
    <w:rsid w:val="00857E66"/>
    <w:rsid w:val="00871D62"/>
    <w:rsid w:val="0088592E"/>
    <w:rsid w:val="00890C38"/>
    <w:rsid w:val="00891BA4"/>
    <w:rsid w:val="008C423C"/>
    <w:rsid w:val="008C6E04"/>
    <w:rsid w:val="008D1184"/>
    <w:rsid w:val="008D251C"/>
    <w:rsid w:val="008D2789"/>
    <w:rsid w:val="008D6337"/>
    <w:rsid w:val="009007BA"/>
    <w:rsid w:val="00920373"/>
    <w:rsid w:val="00925679"/>
    <w:rsid w:val="00932BE1"/>
    <w:rsid w:val="00940951"/>
    <w:rsid w:val="00961D82"/>
    <w:rsid w:val="00970C1F"/>
    <w:rsid w:val="0097109E"/>
    <w:rsid w:val="00974C3B"/>
    <w:rsid w:val="00977C0A"/>
    <w:rsid w:val="00980549"/>
    <w:rsid w:val="009837A4"/>
    <w:rsid w:val="009A00BC"/>
    <w:rsid w:val="009A75BD"/>
    <w:rsid w:val="009B23A9"/>
    <w:rsid w:val="009B47B9"/>
    <w:rsid w:val="009B59CD"/>
    <w:rsid w:val="009C2DDB"/>
    <w:rsid w:val="009F40C5"/>
    <w:rsid w:val="00A0518F"/>
    <w:rsid w:val="00A054A7"/>
    <w:rsid w:val="00A0566C"/>
    <w:rsid w:val="00A07FD5"/>
    <w:rsid w:val="00A107A2"/>
    <w:rsid w:val="00A14605"/>
    <w:rsid w:val="00A24093"/>
    <w:rsid w:val="00A27821"/>
    <w:rsid w:val="00A52B6B"/>
    <w:rsid w:val="00A54A49"/>
    <w:rsid w:val="00A568DE"/>
    <w:rsid w:val="00A64E68"/>
    <w:rsid w:val="00A7149E"/>
    <w:rsid w:val="00A72D34"/>
    <w:rsid w:val="00A74B01"/>
    <w:rsid w:val="00A80870"/>
    <w:rsid w:val="00A92055"/>
    <w:rsid w:val="00AB0485"/>
    <w:rsid w:val="00AB6D56"/>
    <w:rsid w:val="00AD7A5B"/>
    <w:rsid w:val="00AE0BF2"/>
    <w:rsid w:val="00AF07FF"/>
    <w:rsid w:val="00B17801"/>
    <w:rsid w:val="00B2596A"/>
    <w:rsid w:val="00B70328"/>
    <w:rsid w:val="00B83217"/>
    <w:rsid w:val="00B860FF"/>
    <w:rsid w:val="00B8678D"/>
    <w:rsid w:val="00BA0A9C"/>
    <w:rsid w:val="00BA1837"/>
    <w:rsid w:val="00BC22EA"/>
    <w:rsid w:val="00BC3BED"/>
    <w:rsid w:val="00BC73D2"/>
    <w:rsid w:val="00BF1994"/>
    <w:rsid w:val="00C006D6"/>
    <w:rsid w:val="00C250FE"/>
    <w:rsid w:val="00C26DCC"/>
    <w:rsid w:val="00C33126"/>
    <w:rsid w:val="00C466AE"/>
    <w:rsid w:val="00C56433"/>
    <w:rsid w:val="00C7054F"/>
    <w:rsid w:val="00C73282"/>
    <w:rsid w:val="00C815E6"/>
    <w:rsid w:val="00C85650"/>
    <w:rsid w:val="00C9190C"/>
    <w:rsid w:val="00CA30B4"/>
    <w:rsid w:val="00CB0BF4"/>
    <w:rsid w:val="00CB2AB7"/>
    <w:rsid w:val="00CB2B14"/>
    <w:rsid w:val="00CB2DF3"/>
    <w:rsid w:val="00CB6795"/>
    <w:rsid w:val="00CC12C9"/>
    <w:rsid w:val="00CD56BE"/>
    <w:rsid w:val="00CD72EF"/>
    <w:rsid w:val="00CE11EF"/>
    <w:rsid w:val="00CE4231"/>
    <w:rsid w:val="00CE6210"/>
    <w:rsid w:val="00CF283F"/>
    <w:rsid w:val="00CF46F2"/>
    <w:rsid w:val="00D012D4"/>
    <w:rsid w:val="00D06F20"/>
    <w:rsid w:val="00D11D88"/>
    <w:rsid w:val="00D15831"/>
    <w:rsid w:val="00D242D3"/>
    <w:rsid w:val="00D253F8"/>
    <w:rsid w:val="00D34CBF"/>
    <w:rsid w:val="00D5334D"/>
    <w:rsid w:val="00D678E8"/>
    <w:rsid w:val="00D76D32"/>
    <w:rsid w:val="00D91DFB"/>
    <w:rsid w:val="00D956F8"/>
    <w:rsid w:val="00DA3181"/>
    <w:rsid w:val="00DA3F5F"/>
    <w:rsid w:val="00DB5ED9"/>
    <w:rsid w:val="00DB6C83"/>
    <w:rsid w:val="00DB7340"/>
    <w:rsid w:val="00DD1C18"/>
    <w:rsid w:val="00DE22D8"/>
    <w:rsid w:val="00DF3929"/>
    <w:rsid w:val="00DF48C9"/>
    <w:rsid w:val="00E21779"/>
    <w:rsid w:val="00E22B78"/>
    <w:rsid w:val="00E30026"/>
    <w:rsid w:val="00E30AB5"/>
    <w:rsid w:val="00E31A36"/>
    <w:rsid w:val="00E3214B"/>
    <w:rsid w:val="00E3479A"/>
    <w:rsid w:val="00E42C01"/>
    <w:rsid w:val="00E51CF2"/>
    <w:rsid w:val="00E5486F"/>
    <w:rsid w:val="00E70DB4"/>
    <w:rsid w:val="00E9309F"/>
    <w:rsid w:val="00E977F7"/>
    <w:rsid w:val="00EB4F6D"/>
    <w:rsid w:val="00EC3A80"/>
    <w:rsid w:val="00EE2B5D"/>
    <w:rsid w:val="00EE651B"/>
    <w:rsid w:val="00EF4F84"/>
    <w:rsid w:val="00EF64CA"/>
    <w:rsid w:val="00F10440"/>
    <w:rsid w:val="00F13895"/>
    <w:rsid w:val="00F17FC8"/>
    <w:rsid w:val="00F2002D"/>
    <w:rsid w:val="00F208C8"/>
    <w:rsid w:val="00F274D2"/>
    <w:rsid w:val="00F34081"/>
    <w:rsid w:val="00F42EA3"/>
    <w:rsid w:val="00F47916"/>
    <w:rsid w:val="00F71816"/>
    <w:rsid w:val="00F72FDD"/>
    <w:rsid w:val="00F76E39"/>
    <w:rsid w:val="00F81A73"/>
    <w:rsid w:val="00F924CF"/>
    <w:rsid w:val="00F95566"/>
    <w:rsid w:val="00FA4C3A"/>
    <w:rsid w:val="00FA54F7"/>
    <w:rsid w:val="00FA6671"/>
    <w:rsid w:val="00FC49AD"/>
    <w:rsid w:val="00FC63AA"/>
    <w:rsid w:val="00FD4470"/>
    <w:rsid w:val="00FD7763"/>
    <w:rsid w:val="00FD7DC2"/>
    <w:rsid w:val="00FD7E25"/>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 w:id="175639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1D616813-C4EF-4DEE-A062-5CF39957812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2022-02-17T07:11:00Z</cp:lastPrinted>
  <dcterms:created xsi:type="dcterms:W3CDTF">2022-03-03T11:07:00Z</dcterms:created>
  <dcterms:modified xsi:type="dcterms:W3CDTF">2022-03-03T11:07:00Z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