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8C7835" w:rsidRDefault="00BC5A3F" w:rsidP="007E7A1C">
      <w:pPr>
        <w:spacing w:line="360" w:lineRule="auto"/>
        <w:jc w:val="center"/>
        <w:rPr>
          <w:rFonts w:ascii="Arial" w:hAnsi="Arial" w:cs="Arial"/>
          <w:b/>
          <w:sz w:val="22"/>
          <w:szCs w:val="22"/>
        </w:rPr>
      </w:pPr>
      <w:bookmarkStart w:id="0" w:name="_Hlk34206045"/>
      <w:bookmarkStart w:id="1" w:name="_Hlk74243434"/>
      <w:bookmarkStart w:id="2" w:name="_Hlk95472905"/>
      <w:r w:rsidRPr="008C7835">
        <w:rPr>
          <w:rFonts w:ascii="Arial" w:hAnsi="Arial" w:cs="Arial"/>
          <w:b/>
          <w:sz w:val="22"/>
          <w:szCs w:val="22"/>
        </w:rPr>
        <w:t xml:space="preserve">NATIONAL </w:t>
      </w:r>
      <w:r w:rsidR="00E130CF" w:rsidRPr="008C7835">
        <w:rPr>
          <w:rFonts w:ascii="Arial" w:hAnsi="Arial" w:cs="Arial"/>
          <w:b/>
          <w:sz w:val="22"/>
          <w:szCs w:val="22"/>
        </w:rPr>
        <w:t>ASSEMBLY</w:t>
      </w:r>
    </w:p>
    <w:p w:rsidR="00BC5A3F" w:rsidRPr="008C7835" w:rsidRDefault="00BC5A3F" w:rsidP="007E7A1C">
      <w:pPr>
        <w:spacing w:line="360" w:lineRule="auto"/>
        <w:jc w:val="center"/>
        <w:rPr>
          <w:rFonts w:ascii="Arial" w:hAnsi="Arial" w:cs="Arial"/>
          <w:b/>
          <w:sz w:val="22"/>
          <w:szCs w:val="22"/>
        </w:rPr>
      </w:pPr>
      <w:r w:rsidRPr="008C7835">
        <w:rPr>
          <w:rFonts w:ascii="Arial" w:hAnsi="Arial" w:cs="Arial"/>
          <w:b/>
          <w:sz w:val="22"/>
          <w:szCs w:val="22"/>
        </w:rPr>
        <w:t xml:space="preserve">QUESTION FOR </w:t>
      </w:r>
      <w:r w:rsidR="00E938DE" w:rsidRPr="008C7835">
        <w:rPr>
          <w:rFonts w:ascii="Arial" w:hAnsi="Arial" w:cs="Arial"/>
          <w:b/>
          <w:sz w:val="22"/>
          <w:szCs w:val="22"/>
        </w:rPr>
        <w:t>WRITTEN</w:t>
      </w:r>
      <w:r w:rsidRPr="008C7835">
        <w:rPr>
          <w:rFonts w:ascii="Arial" w:hAnsi="Arial" w:cs="Arial"/>
          <w:b/>
          <w:sz w:val="22"/>
          <w:szCs w:val="22"/>
        </w:rPr>
        <w:t xml:space="preserve"> REPLY</w:t>
      </w:r>
    </w:p>
    <w:p w:rsidR="00BC5A3F" w:rsidRPr="008C7835" w:rsidRDefault="00BC5A3F" w:rsidP="00E130CF">
      <w:pPr>
        <w:spacing w:line="360" w:lineRule="auto"/>
        <w:jc w:val="center"/>
        <w:rPr>
          <w:rFonts w:ascii="Arial" w:hAnsi="Arial" w:cs="Arial"/>
          <w:b/>
          <w:sz w:val="22"/>
          <w:szCs w:val="22"/>
        </w:rPr>
      </w:pPr>
      <w:bookmarkStart w:id="3" w:name="_Hlk65832587"/>
      <w:bookmarkStart w:id="4" w:name="_Hlk55548705"/>
      <w:r w:rsidRPr="008C7835">
        <w:rPr>
          <w:rFonts w:ascii="Arial" w:hAnsi="Arial" w:cs="Arial"/>
          <w:b/>
          <w:sz w:val="22"/>
          <w:szCs w:val="22"/>
        </w:rPr>
        <w:t xml:space="preserve">QUESTION NUMBER: </w:t>
      </w:r>
      <w:bookmarkStart w:id="5" w:name="_Hlk34208942"/>
      <w:bookmarkStart w:id="6" w:name="_Hlk49113957"/>
      <w:r w:rsidR="002A588E" w:rsidRPr="008C7835">
        <w:rPr>
          <w:rFonts w:ascii="Arial" w:hAnsi="Arial" w:cs="Arial"/>
          <w:b/>
          <w:bCs/>
          <w:sz w:val="22"/>
          <w:lang w:val="en-GB"/>
        </w:rPr>
        <w:t>1</w:t>
      </w:r>
      <w:r w:rsidR="00F35296" w:rsidRPr="008C7835">
        <w:rPr>
          <w:rFonts w:ascii="Arial" w:hAnsi="Arial" w:cs="Arial"/>
          <w:b/>
          <w:bCs/>
          <w:sz w:val="22"/>
          <w:lang w:val="en-GB"/>
        </w:rPr>
        <w:t>349</w:t>
      </w:r>
      <w:r w:rsidR="00B111EF" w:rsidRPr="008C7835">
        <w:rPr>
          <w:rFonts w:ascii="Arial" w:hAnsi="Arial" w:cs="Arial"/>
          <w:b/>
          <w:bCs/>
          <w:sz w:val="22"/>
          <w:lang w:val="en-GB"/>
        </w:rPr>
        <w:t xml:space="preserve"> </w:t>
      </w:r>
      <w:r w:rsidRPr="008C7835">
        <w:rPr>
          <w:rFonts w:ascii="Arial" w:hAnsi="Arial" w:cs="Arial"/>
          <w:b/>
          <w:sz w:val="22"/>
          <w:szCs w:val="22"/>
        </w:rPr>
        <w:t>[</w:t>
      </w:r>
      <w:r w:rsidR="00A310E0" w:rsidRPr="008C7835">
        <w:rPr>
          <w:rFonts w:ascii="Arial" w:hAnsi="Arial" w:cs="Arial"/>
          <w:b/>
          <w:sz w:val="22"/>
          <w:szCs w:val="22"/>
        </w:rPr>
        <w:t>NW1</w:t>
      </w:r>
      <w:r w:rsidR="006A1B24" w:rsidRPr="008C7835">
        <w:rPr>
          <w:rFonts w:ascii="Arial" w:hAnsi="Arial" w:cs="Arial"/>
          <w:b/>
          <w:sz w:val="22"/>
          <w:szCs w:val="22"/>
        </w:rPr>
        <w:t>637</w:t>
      </w:r>
      <w:r w:rsidR="00A310E0" w:rsidRPr="008C7835">
        <w:rPr>
          <w:rFonts w:ascii="Arial" w:hAnsi="Arial" w:cs="Arial"/>
          <w:b/>
          <w:sz w:val="22"/>
          <w:szCs w:val="22"/>
        </w:rPr>
        <w:t>E</w:t>
      </w:r>
      <w:r w:rsidRPr="008C7835">
        <w:rPr>
          <w:rFonts w:ascii="Arial" w:hAnsi="Arial" w:cs="Arial"/>
          <w:b/>
          <w:sz w:val="22"/>
          <w:szCs w:val="22"/>
        </w:rPr>
        <w:t>]</w:t>
      </w:r>
      <w:bookmarkEnd w:id="5"/>
    </w:p>
    <w:p w:rsidR="008E3D62" w:rsidRPr="008C7835" w:rsidRDefault="00761654" w:rsidP="00951562">
      <w:pPr>
        <w:spacing w:line="360" w:lineRule="auto"/>
        <w:jc w:val="center"/>
        <w:rPr>
          <w:rFonts w:ascii="Arial" w:hAnsi="Arial" w:cs="Arial"/>
          <w:b/>
          <w:sz w:val="22"/>
          <w:szCs w:val="22"/>
        </w:rPr>
      </w:pPr>
      <w:r w:rsidRPr="008C7835">
        <w:rPr>
          <w:rFonts w:ascii="Arial" w:hAnsi="Arial" w:cs="Arial"/>
          <w:b/>
          <w:sz w:val="22"/>
          <w:szCs w:val="22"/>
        </w:rPr>
        <w:t xml:space="preserve">DATE OF PUBLICATION: </w:t>
      </w:r>
      <w:r w:rsidR="00F35296" w:rsidRPr="008C7835">
        <w:rPr>
          <w:rFonts w:ascii="Arial" w:hAnsi="Arial" w:cs="Arial"/>
          <w:b/>
          <w:sz w:val="22"/>
          <w:szCs w:val="22"/>
        </w:rPr>
        <w:t>22</w:t>
      </w:r>
      <w:r w:rsidR="00E130CF" w:rsidRPr="008C7835">
        <w:rPr>
          <w:rFonts w:ascii="Arial" w:hAnsi="Arial" w:cs="Arial"/>
          <w:b/>
          <w:sz w:val="22"/>
          <w:szCs w:val="22"/>
        </w:rPr>
        <w:t xml:space="preserve"> </w:t>
      </w:r>
      <w:r w:rsidR="00A310E0" w:rsidRPr="008C7835">
        <w:rPr>
          <w:rFonts w:ascii="Arial" w:hAnsi="Arial" w:cs="Arial"/>
          <w:b/>
          <w:sz w:val="22"/>
          <w:szCs w:val="22"/>
        </w:rPr>
        <w:t>APRIL</w:t>
      </w:r>
      <w:r w:rsidR="00E130CF" w:rsidRPr="008C7835">
        <w:rPr>
          <w:rFonts w:ascii="Arial" w:hAnsi="Arial" w:cs="Arial"/>
          <w:b/>
          <w:sz w:val="22"/>
          <w:szCs w:val="22"/>
        </w:rPr>
        <w:t xml:space="preserve"> 2022</w:t>
      </w:r>
      <w:bookmarkEnd w:id="0"/>
      <w:bookmarkEnd w:id="1"/>
      <w:bookmarkEnd w:id="2"/>
      <w:bookmarkEnd w:id="3"/>
      <w:bookmarkEnd w:id="4"/>
      <w:bookmarkEnd w:id="6"/>
    </w:p>
    <w:p w:rsidR="00F35296" w:rsidRPr="008C7835" w:rsidRDefault="00F35296" w:rsidP="00F35296">
      <w:pPr>
        <w:spacing w:before="100" w:beforeAutospacing="1" w:after="100" w:afterAutospacing="1"/>
        <w:ind w:left="720" w:hanging="720"/>
        <w:jc w:val="both"/>
        <w:outlineLvl w:val="0"/>
        <w:rPr>
          <w:rFonts w:ascii="Arial" w:hAnsi="Arial" w:cs="Arial"/>
          <w:b/>
        </w:rPr>
      </w:pPr>
      <w:r w:rsidRPr="008C7835">
        <w:rPr>
          <w:rFonts w:ascii="Arial" w:hAnsi="Arial" w:cs="Arial"/>
          <w:b/>
        </w:rPr>
        <w:t>1349.</w:t>
      </w:r>
      <w:r w:rsidRPr="008C7835">
        <w:rPr>
          <w:rFonts w:ascii="Arial" w:hAnsi="Arial" w:cs="Arial"/>
          <w:b/>
        </w:rPr>
        <w:tab/>
        <w:t>Mr N F Shivambu (EFF) to ask the Minister of Finance</w:t>
      </w:r>
      <w:r w:rsidR="00263964" w:rsidRPr="008C7835">
        <w:rPr>
          <w:rFonts w:ascii="Arial" w:hAnsi="Arial" w:cs="Arial"/>
          <w:b/>
        </w:rPr>
        <w:fldChar w:fldCharType="begin"/>
      </w:r>
      <w:r w:rsidRPr="008C7835">
        <w:rPr>
          <w:rFonts w:ascii="Arial" w:hAnsi="Arial" w:cs="Arial"/>
        </w:rPr>
        <w:instrText xml:space="preserve"> XE "</w:instrText>
      </w:r>
      <w:r w:rsidRPr="008C7835">
        <w:rPr>
          <w:rFonts w:ascii="Arial" w:hAnsi="Arial" w:cs="Arial"/>
          <w:b/>
        </w:rPr>
        <w:instrText>Finance</w:instrText>
      </w:r>
      <w:r w:rsidRPr="008C7835">
        <w:rPr>
          <w:rFonts w:ascii="Arial" w:hAnsi="Arial" w:cs="Arial"/>
        </w:rPr>
        <w:instrText xml:space="preserve">" </w:instrText>
      </w:r>
      <w:r w:rsidR="00263964" w:rsidRPr="008C7835">
        <w:rPr>
          <w:rFonts w:ascii="Arial" w:hAnsi="Arial" w:cs="Arial"/>
          <w:b/>
        </w:rPr>
        <w:fldChar w:fldCharType="end"/>
      </w:r>
      <w:r w:rsidRPr="008C7835">
        <w:rPr>
          <w:rFonts w:ascii="Arial" w:hAnsi="Arial" w:cs="Arial"/>
          <w:b/>
        </w:rPr>
        <w:t>:</w:t>
      </w:r>
    </w:p>
    <w:p w:rsidR="00F35296" w:rsidRPr="008C7835" w:rsidRDefault="00F35296" w:rsidP="00F35296">
      <w:pPr>
        <w:spacing w:before="240"/>
        <w:ind w:left="709" w:right="26" w:firstLine="11"/>
        <w:jc w:val="both"/>
        <w:rPr>
          <w:rFonts w:ascii="Arial" w:hAnsi="Arial" w:cs="Arial"/>
          <w:sz w:val="20"/>
          <w:szCs w:val="20"/>
        </w:rPr>
      </w:pPr>
      <w:r w:rsidRPr="008C7835">
        <w:rPr>
          <w:rFonts w:ascii="Arial" w:hAnsi="Arial" w:cs="Arial"/>
        </w:rPr>
        <w:t xml:space="preserve">What (a) is the full </w:t>
      </w:r>
      <w:bookmarkStart w:id="7" w:name="_Hlk101513720"/>
      <w:r w:rsidRPr="008C7835">
        <w:rPr>
          <w:rFonts w:ascii="Arial" w:hAnsi="Arial" w:cs="Arial"/>
        </w:rPr>
        <w:t xml:space="preserve">list of financial institutions that have issued (i) long-term loans, </w:t>
      </w:r>
      <w:bookmarkEnd w:id="7"/>
      <w:r w:rsidRPr="008C7835">
        <w:rPr>
          <w:rFonts w:ascii="Arial" w:hAnsi="Arial" w:cs="Arial"/>
        </w:rPr>
        <w:t>such as bonds and (ii) short-term loans, such as Treasury bills to the Government and (b) are the (i) names of (aa) the market participants and (bb) their clients, (ii) interest rates, (iii) term(s) of each loan and (iv) total amounts borrowed in each case?</w:t>
      </w:r>
      <w:r w:rsidRPr="008C7835">
        <w:rPr>
          <w:rFonts w:ascii="Arial" w:hAnsi="Arial" w:cs="Arial"/>
        </w:rPr>
        <w:tab/>
      </w:r>
      <w:r w:rsidRPr="008C7835">
        <w:rPr>
          <w:rFonts w:ascii="Arial" w:hAnsi="Arial" w:cs="Arial"/>
        </w:rPr>
        <w:tab/>
      </w:r>
      <w:r w:rsidRPr="008C7835">
        <w:rPr>
          <w:rFonts w:ascii="Arial" w:hAnsi="Arial" w:cs="Arial"/>
        </w:rPr>
        <w:tab/>
      </w:r>
      <w:r w:rsidRPr="008C7835">
        <w:rPr>
          <w:rFonts w:ascii="Arial" w:hAnsi="Arial" w:cs="Arial"/>
        </w:rPr>
        <w:tab/>
      </w:r>
      <w:r w:rsidRPr="008C7835">
        <w:rPr>
          <w:rFonts w:ascii="Arial" w:hAnsi="Arial" w:cs="Arial"/>
        </w:rPr>
        <w:tab/>
      </w:r>
      <w:r w:rsidRPr="008C7835">
        <w:rPr>
          <w:rFonts w:ascii="Arial" w:hAnsi="Arial" w:cs="Arial"/>
        </w:rPr>
        <w:tab/>
      </w:r>
      <w:r w:rsidRPr="008C7835">
        <w:rPr>
          <w:rFonts w:ascii="Arial" w:hAnsi="Arial" w:cs="Arial"/>
        </w:rPr>
        <w:tab/>
      </w:r>
      <w:r w:rsidRPr="008C7835">
        <w:rPr>
          <w:rFonts w:ascii="Arial" w:hAnsi="Arial" w:cs="Arial"/>
        </w:rPr>
        <w:tab/>
      </w:r>
      <w:r w:rsidRPr="008C7835">
        <w:rPr>
          <w:rFonts w:ascii="Arial" w:hAnsi="Arial" w:cs="Arial"/>
        </w:rPr>
        <w:tab/>
      </w:r>
      <w:r w:rsidRPr="008C7835">
        <w:rPr>
          <w:rFonts w:ascii="Arial" w:hAnsi="Arial" w:cs="Arial"/>
        </w:rPr>
        <w:tab/>
      </w:r>
      <w:r w:rsidRPr="008C7835">
        <w:rPr>
          <w:rFonts w:ascii="Arial" w:hAnsi="Arial" w:cs="Arial"/>
        </w:rPr>
        <w:tab/>
      </w:r>
      <w:r w:rsidRPr="008C7835">
        <w:rPr>
          <w:rFonts w:ascii="Arial" w:hAnsi="Arial" w:cs="Arial"/>
        </w:rPr>
        <w:tab/>
      </w:r>
      <w:r w:rsidRPr="008C7835">
        <w:rPr>
          <w:rFonts w:ascii="Arial" w:hAnsi="Arial" w:cs="Arial"/>
        </w:rPr>
        <w:tab/>
      </w:r>
      <w:r w:rsidR="008C7835">
        <w:rPr>
          <w:rFonts w:ascii="Arial" w:hAnsi="Arial" w:cs="Arial"/>
        </w:rPr>
        <w:tab/>
      </w:r>
      <w:r w:rsidR="008C7835">
        <w:rPr>
          <w:rFonts w:ascii="Arial" w:hAnsi="Arial" w:cs="Arial"/>
        </w:rPr>
        <w:tab/>
      </w:r>
      <w:r w:rsidR="008C7835">
        <w:rPr>
          <w:rFonts w:ascii="Arial" w:hAnsi="Arial" w:cs="Arial"/>
        </w:rPr>
        <w:tab/>
      </w:r>
      <w:r w:rsidR="008C7835">
        <w:rPr>
          <w:rFonts w:ascii="Arial" w:hAnsi="Arial" w:cs="Arial"/>
        </w:rPr>
        <w:tab/>
      </w:r>
      <w:r w:rsidR="008C7835">
        <w:rPr>
          <w:rFonts w:ascii="Arial" w:hAnsi="Arial" w:cs="Arial"/>
        </w:rPr>
        <w:tab/>
      </w:r>
      <w:r w:rsidR="008C7835">
        <w:rPr>
          <w:rFonts w:ascii="Arial" w:hAnsi="Arial" w:cs="Arial"/>
        </w:rPr>
        <w:tab/>
      </w:r>
      <w:r w:rsidRPr="008C7835">
        <w:rPr>
          <w:rFonts w:ascii="Arial" w:hAnsi="Arial" w:cs="Arial"/>
          <w:sz w:val="20"/>
          <w:szCs w:val="20"/>
        </w:rPr>
        <w:t>NW1637E</w:t>
      </w:r>
    </w:p>
    <w:p w:rsidR="00A310E0" w:rsidRPr="008C7835" w:rsidRDefault="00A310E0" w:rsidP="005F3E3B">
      <w:pPr>
        <w:ind w:left="709" w:right="26" w:firstLine="11"/>
        <w:jc w:val="both"/>
        <w:rPr>
          <w:rFonts w:ascii="Arial" w:hAnsi="Arial" w:cs="Arial"/>
        </w:rPr>
      </w:pPr>
    </w:p>
    <w:p w:rsidR="007150F3" w:rsidRDefault="00761654" w:rsidP="0035559A">
      <w:pPr>
        <w:spacing w:before="100" w:beforeAutospacing="1" w:after="100" w:afterAutospacing="1" w:line="276" w:lineRule="auto"/>
        <w:jc w:val="both"/>
        <w:outlineLvl w:val="0"/>
        <w:rPr>
          <w:rFonts w:ascii="Arial" w:hAnsi="Arial" w:cs="Arial"/>
          <w:b/>
        </w:rPr>
      </w:pPr>
      <w:r w:rsidRPr="008C7835">
        <w:rPr>
          <w:rFonts w:ascii="Arial" w:hAnsi="Arial" w:cs="Arial"/>
          <w:b/>
        </w:rPr>
        <w:t>REPLY</w:t>
      </w:r>
    </w:p>
    <w:p w:rsidR="00BB4C02" w:rsidRDefault="00BB4C02" w:rsidP="0035559A">
      <w:pPr>
        <w:spacing w:before="100" w:beforeAutospacing="1" w:after="100" w:afterAutospacing="1" w:line="276" w:lineRule="auto"/>
        <w:jc w:val="both"/>
        <w:outlineLvl w:val="0"/>
        <w:rPr>
          <w:rFonts w:ascii="Arial" w:hAnsi="Arial" w:cs="Arial"/>
          <w:bCs/>
        </w:rPr>
      </w:pPr>
      <w:r>
        <w:rPr>
          <w:rFonts w:ascii="Arial" w:hAnsi="Arial" w:cs="Arial"/>
          <w:bCs/>
        </w:rPr>
        <w:t xml:space="preserve">Treasury Bills </w:t>
      </w:r>
      <w:r w:rsidR="00834383">
        <w:rPr>
          <w:rFonts w:ascii="Arial" w:hAnsi="Arial" w:cs="Arial"/>
          <w:bCs/>
        </w:rPr>
        <w:t xml:space="preserve">(t-bills) </w:t>
      </w:r>
      <w:r>
        <w:rPr>
          <w:rFonts w:ascii="Arial" w:hAnsi="Arial" w:cs="Arial"/>
          <w:bCs/>
        </w:rPr>
        <w:t xml:space="preserve">are held by every commercial bank in the country that holds a banking license since they form part of the </w:t>
      </w:r>
      <w:r w:rsidR="00206208">
        <w:rPr>
          <w:rFonts w:ascii="Arial" w:hAnsi="Arial" w:cs="Arial"/>
          <w:bCs/>
        </w:rPr>
        <w:t>High-Quality</w:t>
      </w:r>
      <w:r>
        <w:rPr>
          <w:rFonts w:ascii="Arial" w:hAnsi="Arial" w:cs="Arial"/>
          <w:bCs/>
        </w:rPr>
        <w:t xml:space="preserve"> Liquid Assets (HQLA) which are required by the Prudential Authority. These assets allow banks to meet their short</w:t>
      </w:r>
      <w:r w:rsidR="00834383">
        <w:rPr>
          <w:rFonts w:ascii="Arial" w:hAnsi="Arial" w:cs="Arial"/>
          <w:bCs/>
        </w:rPr>
        <w:t>-</w:t>
      </w:r>
      <w:r>
        <w:rPr>
          <w:rFonts w:ascii="Arial" w:hAnsi="Arial" w:cs="Arial"/>
          <w:bCs/>
        </w:rPr>
        <w:t xml:space="preserve">term liquidity requirements and can be used as collateral for central bank operations, as well as benchmarking for pricing financial assets. The same banks may hold both </w:t>
      </w:r>
      <w:r w:rsidR="00834383">
        <w:rPr>
          <w:rFonts w:ascii="Arial" w:hAnsi="Arial" w:cs="Arial"/>
          <w:bCs/>
        </w:rPr>
        <w:t>t-</w:t>
      </w:r>
      <w:r>
        <w:rPr>
          <w:rFonts w:ascii="Arial" w:hAnsi="Arial" w:cs="Arial"/>
          <w:bCs/>
        </w:rPr>
        <w:t>bills and bonds on behalf of clients in their stockbroking or wealth management units in both discretionary,</w:t>
      </w:r>
      <w:r w:rsidR="00834383">
        <w:rPr>
          <w:rFonts w:ascii="Arial" w:hAnsi="Arial" w:cs="Arial"/>
          <w:bCs/>
        </w:rPr>
        <w:t xml:space="preserve"> </w:t>
      </w:r>
      <w:r>
        <w:rPr>
          <w:rFonts w:ascii="Arial" w:hAnsi="Arial" w:cs="Arial"/>
          <w:bCs/>
        </w:rPr>
        <w:t>non</w:t>
      </w:r>
      <w:r w:rsidR="00834383">
        <w:rPr>
          <w:rFonts w:ascii="Arial" w:hAnsi="Arial" w:cs="Arial"/>
          <w:bCs/>
        </w:rPr>
        <w:t>-</w:t>
      </w:r>
      <w:r>
        <w:rPr>
          <w:rFonts w:ascii="Arial" w:hAnsi="Arial" w:cs="Arial"/>
          <w:bCs/>
        </w:rPr>
        <w:t xml:space="preserve">discretionary and segregated income portfolios. For the latter reason, it would be near impossible for </w:t>
      </w:r>
      <w:r w:rsidR="00834383">
        <w:rPr>
          <w:rFonts w:ascii="Arial" w:hAnsi="Arial" w:cs="Arial"/>
          <w:bCs/>
        </w:rPr>
        <w:t xml:space="preserve">the National </w:t>
      </w:r>
      <w:r>
        <w:rPr>
          <w:rFonts w:ascii="Arial" w:hAnsi="Arial" w:cs="Arial"/>
          <w:bCs/>
        </w:rPr>
        <w:t>T</w:t>
      </w:r>
      <w:r w:rsidR="00834383">
        <w:rPr>
          <w:rFonts w:ascii="Arial" w:hAnsi="Arial" w:cs="Arial"/>
          <w:bCs/>
        </w:rPr>
        <w:t>reasury (NT)</w:t>
      </w:r>
      <w:r>
        <w:rPr>
          <w:rFonts w:ascii="Arial" w:hAnsi="Arial" w:cs="Arial"/>
          <w:bCs/>
        </w:rPr>
        <w:t xml:space="preserve"> to determine what rate investors bought the bonds at and who the clients are. </w:t>
      </w:r>
    </w:p>
    <w:p w:rsidR="00BB4C02" w:rsidRDefault="00BB4C02" w:rsidP="0035559A">
      <w:pPr>
        <w:spacing w:before="100" w:beforeAutospacing="1" w:after="100" w:afterAutospacing="1" w:line="276" w:lineRule="auto"/>
        <w:jc w:val="both"/>
        <w:outlineLvl w:val="0"/>
        <w:rPr>
          <w:rFonts w:ascii="Arial" w:hAnsi="Arial" w:cs="Arial"/>
          <w:bCs/>
        </w:rPr>
      </w:pPr>
      <w:r>
        <w:rPr>
          <w:rFonts w:ascii="Arial" w:hAnsi="Arial" w:cs="Arial"/>
          <w:bCs/>
        </w:rPr>
        <w:t xml:space="preserve">Long term loans are bought by the </w:t>
      </w:r>
      <w:r w:rsidR="00206208">
        <w:rPr>
          <w:rFonts w:ascii="Arial" w:hAnsi="Arial" w:cs="Arial"/>
          <w:bCs/>
        </w:rPr>
        <w:t>nine</w:t>
      </w:r>
      <w:r>
        <w:rPr>
          <w:rFonts w:ascii="Arial" w:hAnsi="Arial" w:cs="Arial"/>
          <w:bCs/>
        </w:rPr>
        <w:t xml:space="preserve"> primary dealers in the primary market on behalf of </w:t>
      </w:r>
      <w:r w:rsidR="00834383">
        <w:rPr>
          <w:rFonts w:ascii="Arial" w:hAnsi="Arial" w:cs="Arial"/>
          <w:bCs/>
        </w:rPr>
        <w:t>i</w:t>
      </w:r>
      <w:r w:rsidR="009A432F">
        <w:rPr>
          <w:rFonts w:ascii="Arial" w:hAnsi="Arial" w:cs="Arial"/>
          <w:bCs/>
        </w:rPr>
        <w:t xml:space="preserve">nsurers, </w:t>
      </w:r>
      <w:r w:rsidR="00834383">
        <w:rPr>
          <w:rFonts w:ascii="Arial" w:hAnsi="Arial" w:cs="Arial"/>
          <w:bCs/>
        </w:rPr>
        <w:t>a</w:t>
      </w:r>
      <w:r>
        <w:rPr>
          <w:rFonts w:ascii="Arial" w:hAnsi="Arial" w:cs="Arial"/>
          <w:bCs/>
        </w:rPr>
        <w:t xml:space="preserve">sset </w:t>
      </w:r>
      <w:r w:rsidR="00A6150B">
        <w:rPr>
          <w:rFonts w:ascii="Arial" w:hAnsi="Arial" w:cs="Arial"/>
          <w:bCs/>
        </w:rPr>
        <w:t>m</w:t>
      </w:r>
      <w:r>
        <w:rPr>
          <w:rFonts w:ascii="Arial" w:hAnsi="Arial" w:cs="Arial"/>
          <w:bCs/>
        </w:rPr>
        <w:t xml:space="preserve">anagers and </w:t>
      </w:r>
      <w:r w:rsidR="00834383">
        <w:rPr>
          <w:rFonts w:ascii="Arial" w:hAnsi="Arial" w:cs="Arial"/>
          <w:bCs/>
        </w:rPr>
        <w:t>h</w:t>
      </w:r>
      <w:r>
        <w:rPr>
          <w:rFonts w:ascii="Arial" w:hAnsi="Arial" w:cs="Arial"/>
          <w:bCs/>
        </w:rPr>
        <w:t xml:space="preserve">edge </w:t>
      </w:r>
      <w:r w:rsidR="00834383">
        <w:rPr>
          <w:rFonts w:ascii="Arial" w:hAnsi="Arial" w:cs="Arial"/>
          <w:bCs/>
        </w:rPr>
        <w:t>f</w:t>
      </w:r>
      <w:r>
        <w:rPr>
          <w:rFonts w:ascii="Arial" w:hAnsi="Arial" w:cs="Arial"/>
          <w:bCs/>
        </w:rPr>
        <w:t>unds on a weekly basis. Furthermore, these bonds are then traded in the secondary market</w:t>
      </w:r>
      <w:r w:rsidR="009A432F">
        <w:rPr>
          <w:rFonts w:ascii="Arial" w:hAnsi="Arial" w:cs="Arial"/>
          <w:bCs/>
        </w:rPr>
        <w:t xml:space="preserve"> where they are bought and sold by different entities</w:t>
      </w:r>
      <w:r>
        <w:rPr>
          <w:rFonts w:ascii="Arial" w:hAnsi="Arial" w:cs="Arial"/>
          <w:bCs/>
        </w:rPr>
        <w:t xml:space="preserve">. The </w:t>
      </w:r>
      <w:r w:rsidR="00206208">
        <w:rPr>
          <w:rFonts w:ascii="Arial" w:hAnsi="Arial" w:cs="Arial"/>
          <w:bCs/>
        </w:rPr>
        <w:t>nine</w:t>
      </w:r>
      <w:r>
        <w:rPr>
          <w:rFonts w:ascii="Arial" w:hAnsi="Arial" w:cs="Arial"/>
          <w:bCs/>
        </w:rPr>
        <w:t xml:space="preserve"> primary dealers are:</w:t>
      </w:r>
    </w:p>
    <w:p w:rsidR="00BB4C02" w:rsidRDefault="00BB4C02" w:rsidP="00BB4C02">
      <w:pPr>
        <w:pStyle w:val="ListParagraph"/>
        <w:numPr>
          <w:ilvl w:val="0"/>
          <w:numId w:val="23"/>
        </w:numPr>
        <w:spacing w:before="100" w:beforeAutospacing="1" w:after="100" w:afterAutospacing="1" w:line="276" w:lineRule="auto"/>
        <w:jc w:val="both"/>
        <w:outlineLvl w:val="0"/>
        <w:rPr>
          <w:rFonts w:ascii="Arial" w:hAnsi="Arial" w:cs="Arial"/>
          <w:bCs/>
        </w:rPr>
      </w:pPr>
      <w:r>
        <w:rPr>
          <w:rFonts w:ascii="Arial" w:hAnsi="Arial" w:cs="Arial"/>
          <w:bCs/>
        </w:rPr>
        <w:t>ABSA</w:t>
      </w:r>
    </w:p>
    <w:p w:rsidR="00BB4C02" w:rsidRPr="00A6150B" w:rsidRDefault="00BB4C02" w:rsidP="00A6150B">
      <w:pPr>
        <w:pStyle w:val="ListParagraph"/>
        <w:numPr>
          <w:ilvl w:val="0"/>
          <w:numId w:val="23"/>
        </w:numPr>
        <w:spacing w:before="100" w:beforeAutospacing="1" w:after="100" w:afterAutospacing="1" w:line="276" w:lineRule="auto"/>
        <w:jc w:val="both"/>
        <w:outlineLvl w:val="0"/>
        <w:rPr>
          <w:rFonts w:ascii="Arial" w:hAnsi="Arial" w:cs="Arial"/>
          <w:bCs/>
        </w:rPr>
      </w:pPr>
      <w:r>
        <w:rPr>
          <w:rFonts w:ascii="Arial" w:hAnsi="Arial" w:cs="Arial"/>
          <w:bCs/>
        </w:rPr>
        <w:t>HSBC</w:t>
      </w:r>
    </w:p>
    <w:p w:rsidR="00BB4C02" w:rsidRDefault="00BB4C02" w:rsidP="00BB4C02">
      <w:pPr>
        <w:pStyle w:val="ListParagraph"/>
        <w:numPr>
          <w:ilvl w:val="0"/>
          <w:numId w:val="23"/>
        </w:numPr>
        <w:spacing w:before="100" w:beforeAutospacing="1" w:after="100" w:afterAutospacing="1" w:line="276" w:lineRule="auto"/>
        <w:jc w:val="both"/>
        <w:outlineLvl w:val="0"/>
        <w:rPr>
          <w:rFonts w:ascii="Arial" w:hAnsi="Arial" w:cs="Arial"/>
          <w:bCs/>
        </w:rPr>
      </w:pPr>
      <w:r>
        <w:rPr>
          <w:rFonts w:ascii="Arial" w:hAnsi="Arial" w:cs="Arial"/>
          <w:bCs/>
        </w:rPr>
        <w:t>NEDBANK</w:t>
      </w:r>
    </w:p>
    <w:p w:rsidR="00BB4C02" w:rsidRDefault="00BB4C02" w:rsidP="00BB4C02">
      <w:pPr>
        <w:pStyle w:val="ListParagraph"/>
        <w:numPr>
          <w:ilvl w:val="0"/>
          <w:numId w:val="23"/>
        </w:numPr>
        <w:spacing w:before="100" w:beforeAutospacing="1" w:after="100" w:afterAutospacing="1" w:line="276" w:lineRule="auto"/>
        <w:jc w:val="both"/>
        <w:outlineLvl w:val="0"/>
        <w:rPr>
          <w:rFonts w:ascii="Arial" w:hAnsi="Arial" w:cs="Arial"/>
          <w:bCs/>
        </w:rPr>
      </w:pPr>
      <w:r>
        <w:rPr>
          <w:rFonts w:ascii="Arial" w:hAnsi="Arial" w:cs="Arial"/>
          <w:bCs/>
        </w:rPr>
        <w:t>CITIBANK</w:t>
      </w:r>
    </w:p>
    <w:p w:rsidR="00BB4C02" w:rsidRDefault="00BB4C02" w:rsidP="00BB4C02">
      <w:pPr>
        <w:pStyle w:val="ListParagraph"/>
        <w:numPr>
          <w:ilvl w:val="0"/>
          <w:numId w:val="23"/>
        </w:numPr>
        <w:spacing w:before="100" w:beforeAutospacing="1" w:after="100" w:afterAutospacing="1" w:line="276" w:lineRule="auto"/>
        <w:jc w:val="both"/>
        <w:outlineLvl w:val="0"/>
        <w:rPr>
          <w:rFonts w:ascii="Arial" w:hAnsi="Arial" w:cs="Arial"/>
          <w:bCs/>
        </w:rPr>
      </w:pPr>
      <w:r>
        <w:rPr>
          <w:rFonts w:ascii="Arial" w:hAnsi="Arial" w:cs="Arial"/>
          <w:bCs/>
        </w:rPr>
        <w:t>STANDARD BANK</w:t>
      </w:r>
    </w:p>
    <w:p w:rsidR="00BB4C02" w:rsidRDefault="00BB4C02" w:rsidP="00BB4C02">
      <w:pPr>
        <w:pStyle w:val="ListParagraph"/>
        <w:numPr>
          <w:ilvl w:val="0"/>
          <w:numId w:val="23"/>
        </w:numPr>
        <w:spacing w:before="100" w:beforeAutospacing="1" w:after="100" w:afterAutospacing="1" w:line="276" w:lineRule="auto"/>
        <w:jc w:val="both"/>
        <w:outlineLvl w:val="0"/>
        <w:rPr>
          <w:rFonts w:ascii="Arial" w:hAnsi="Arial" w:cs="Arial"/>
          <w:bCs/>
        </w:rPr>
      </w:pPr>
      <w:r>
        <w:rPr>
          <w:rFonts w:ascii="Arial" w:hAnsi="Arial" w:cs="Arial"/>
          <w:bCs/>
        </w:rPr>
        <w:t>INVESTEC BANK</w:t>
      </w:r>
    </w:p>
    <w:p w:rsidR="00BB4C02" w:rsidRDefault="00BB4C02" w:rsidP="00BB4C02">
      <w:pPr>
        <w:pStyle w:val="ListParagraph"/>
        <w:numPr>
          <w:ilvl w:val="0"/>
          <w:numId w:val="23"/>
        </w:numPr>
        <w:spacing w:before="100" w:beforeAutospacing="1" w:after="100" w:afterAutospacing="1" w:line="276" w:lineRule="auto"/>
        <w:jc w:val="both"/>
        <w:outlineLvl w:val="0"/>
        <w:rPr>
          <w:rFonts w:ascii="Arial" w:hAnsi="Arial" w:cs="Arial"/>
          <w:bCs/>
        </w:rPr>
      </w:pPr>
      <w:r>
        <w:rPr>
          <w:rFonts w:ascii="Arial" w:hAnsi="Arial" w:cs="Arial"/>
          <w:bCs/>
        </w:rPr>
        <w:t>DEUTSCHE BANK</w:t>
      </w:r>
    </w:p>
    <w:p w:rsidR="00BB4C02" w:rsidRDefault="00BB4C02" w:rsidP="00BB4C02">
      <w:pPr>
        <w:pStyle w:val="ListParagraph"/>
        <w:numPr>
          <w:ilvl w:val="0"/>
          <w:numId w:val="23"/>
        </w:numPr>
        <w:spacing w:before="100" w:beforeAutospacing="1" w:after="100" w:afterAutospacing="1" w:line="276" w:lineRule="auto"/>
        <w:jc w:val="both"/>
        <w:outlineLvl w:val="0"/>
        <w:rPr>
          <w:rFonts w:ascii="Arial" w:hAnsi="Arial" w:cs="Arial"/>
          <w:bCs/>
        </w:rPr>
      </w:pPr>
      <w:r>
        <w:rPr>
          <w:rFonts w:ascii="Arial" w:hAnsi="Arial" w:cs="Arial"/>
          <w:bCs/>
        </w:rPr>
        <w:t>RMB</w:t>
      </w:r>
    </w:p>
    <w:p w:rsidR="00BB4C02" w:rsidRDefault="00BB4C02" w:rsidP="00BB4C02">
      <w:pPr>
        <w:pStyle w:val="ListParagraph"/>
        <w:numPr>
          <w:ilvl w:val="0"/>
          <w:numId w:val="23"/>
        </w:numPr>
        <w:spacing w:before="100" w:beforeAutospacing="1" w:after="100" w:afterAutospacing="1" w:line="276" w:lineRule="auto"/>
        <w:jc w:val="both"/>
        <w:outlineLvl w:val="0"/>
        <w:rPr>
          <w:rFonts w:ascii="Arial" w:hAnsi="Arial" w:cs="Arial"/>
          <w:bCs/>
        </w:rPr>
      </w:pPr>
      <w:r>
        <w:rPr>
          <w:rFonts w:ascii="Arial" w:hAnsi="Arial" w:cs="Arial"/>
          <w:bCs/>
        </w:rPr>
        <w:t>JP MORGAN</w:t>
      </w:r>
    </w:p>
    <w:p w:rsidR="00BB4C02" w:rsidRDefault="00834383" w:rsidP="00BB4C02">
      <w:pPr>
        <w:spacing w:before="100" w:beforeAutospacing="1" w:after="100" w:afterAutospacing="1" w:line="276" w:lineRule="auto"/>
        <w:jc w:val="both"/>
        <w:outlineLvl w:val="0"/>
        <w:rPr>
          <w:rFonts w:ascii="Arial" w:hAnsi="Arial" w:cs="Arial"/>
          <w:bCs/>
        </w:rPr>
      </w:pPr>
      <w:r>
        <w:rPr>
          <w:rFonts w:ascii="Arial" w:hAnsi="Arial" w:cs="Arial"/>
          <w:bCs/>
        </w:rPr>
        <w:t>T</w:t>
      </w:r>
      <w:r w:rsidR="00BB4C02">
        <w:rPr>
          <w:rFonts w:ascii="Arial" w:hAnsi="Arial" w:cs="Arial"/>
          <w:bCs/>
        </w:rPr>
        <w:t xml:space="preserve">o qualify as a primary dealer, applying banks are required to comply with capital adequacy requirements per the banks act as well as additional NT requirements. These banks would buy these bonds at different rates on a weekly basis and distribute these bonds for a turn in the secondary markets both on exchange and </w:t>
      </w:r>
      <w:r w:rsidR="00BB4C02">
        <w:rPr>
          <w:rFonts w:ascii="Arial" w:hAnsi="Arial" w:cs="Arial"/>
          <w:bCs/>
        </w:rPr>
        <w:lastRenderedPageBreak/>
        <w:t xml:space="preserve">over the counter which also impacts the rates at which the bonds trade. The interest rates and amounts at which the bonds are auctioned in the primary market are available on the NT website on a weekly basis </w:t>
      </w:r>
      <w:r w:rsidR="00206208">
        <w:rPr>
          <w:rFonts w:ascii="Arial" w:hAnsi="Arial" w:cs="Arial"/>
          <w:bCs/>
        </w:rPr>
        <w:t>however, the</w:t>
      </w:r>
      <w:r w:rsidR="00BB4C02">
        <w:rPr>
          <w:rFonts w:ascii="Arial" w:hAnsi="Arial" w:cs="Arial"/>
          <w:bCs/>
        </w:rPr>
        <w:t xml:space="preserve"> amount that each bank buys in the auction is not public information since this information is sensitive for the</w:t>
      </w:r>
      <w:r w:rsidR="009A432F">
        <w:rPr>
          <w:rFonts w:ascii="Arial" w:hAnsi="Arial" w:cs="Arial"/>
          <w:bCs/>
        </w:rPr>
        <w:t xml:space="preserve"> ongoing</w:t>
      </w:r>
      <w:r w:rsidR="00BB4C02">
        <w:rPr>
          <w:rFonts w:ascii="Arial" w:hAnsi="Arial" w:cs="Arial"/>
          <w:bCs/>
        </w:rPr>
        <w:t xml:space="preserve"> auction process. There are no terms associated with each bond purchase except the obligation to pay the interest rate and principal when it is due on NT’s part</w:t>
      </w:r>
      <w:r>
        <w:rPr>
          <w:rFonts w:ascii="Arial" w:hAnsi="Arial" w:cs="Arial"/>
          <w:bCs/>
        </w:rPr>
        <w:t>.</w:t>
      </w:r>
    </w:p>
    <w:p w:rsidR="00BB4C02" w:rsidRDefault="00BB4C02" w:rsidP="00BB4C02">
      <w:pPr>
        <w:spacing w:before="100" w:beforeAutospacing="1" w:after="100" w:afterAutospacing="1" w:line="276" w:lineRule="auto"/>
        <w:jc w:val="both"/>
        <w:outlineLvl w:val="0"/>
        <w:rPr>
          <w:rFonts w:ascii="Arial" w:hAnsi="Arial" w:cs="Arial"/>
          <w:bCs/>
        </w:rPr>
      </w:pPr>
      <w:r>
        <w:rPr>
          <w:rFonts w:ascii="Arial" w:hAnsi="Arial" w:cs="Arial"/>
          <w:bCs/>
        </w:rPr>
        <w:t xml:space="preserve">The ultimate holders of the bonds can categorized as follows: </w:t>
      </w:r>
    </w:p>
    <w:p w:rsidR="00BB4C02" w:rsidRDefault="00BB4C02" w:rsidP="00BB4C02">
      <w:pPr>
        <w:pStyle w:val="ListParagraph"/>
        <w:numPr>
          <w:ilvl w:val="0"/>
          <w:numId w:val="24"/>
        </w:numPr>
        <w:spacing w:before="100" w:beforeAutospacing="1" w:after="100" w:afterAutospacing="1" w:line="276" w:lineRule="auto"/>
        <w:jc w:val="both"/>
        <w:outlineLvl w:val="0"/>
        <w:rPr>
          <w:rFonts w:ascii="Arial" w:hAnsi="Arial" w:cs="Arial"/>
          <w:bCs/>
        </w:rPr>
      </w:pPr>
      <w:r>
        <w:rPr>
          <w:rFonts w:ascii="Arial" w:hAnsi="Arial" w:cs="Arial"/>
          <w:bCs/>
        </w:rPr>
        <w:t>Monetary Institutions</w:t>
      </w:r>
    </w:p>
    <w:p w:rsidR="00BB4C02" w:rsidRDefault="00BB4C02" w:rsidP="00BB4C02">
      <w:pPr>
        <w:pStyle w:val="ListParagraph"/>
        <w:numPr>
          <w:ilvl w:val="1"/>
          <w:numId w:val="24"/>
        </w:numPr>
        <w:spacing w:before="100" w:beforeAutospacing="1" w:after="100" w:afterAutospacing="1" w:line="276" w:lineRule="auto"/>
        <w:jc w:val="both"/>
        <w:outlineLvl w:val="0"/>
        <w:rPr>
          <w:rFonts w:ascii="Arial" w:hAnsi="Arial" w:cs="Arial"/>
          <w:bCs/>
        </w:rPr>
      </w:pPr>
      <w:r>
        <w:rPr>
          <w:rFonts w:ascii="Arial" w:hAnsi="Arial" w:cs="Arial"/>
          <w:bCs/>
        </w:rPr>
        <w:t>Banks</w:t>
      </w:r>
    </w:p>
    <w:p w:rsidR="00BB4C02" w:rsidRDefault="00BB4C02" w:rsidP="00BB4C02">
      <w:pPr>
        <w:pStyle w:val="ListParagraph"/>
        <w:numPr>
          <w:ilvl w:val="1"/>
          <w:numId w:val="24"/>
        </w:numPr>
        <w:spacing w:before="100" w:beforeAutospacing="1" w:after="100" w:afterAutospacing="1" w:line="276" w:lineRule="auto"/>
        <w:jc w:val="both"/>
        <w:outlineLvl w:val="0"/>
        <w:rPr>
          <w:rFonts w:ascii="Arial" w:hAnsi="Arial" w:cs="Arial"/>
          <w:bCs/>
        </w:rPr>
      </w:pPr>
      <w:r>
        <w:rPr>
          <w:rFonts w:ascii="Arial" w:hAnsi="Arial" w:cs="Arial"/>
          <w:bCs/>
        </w:rPr>
        <w:t>SARB</w:t>
      </w:r>
    </w:p>
    <w:p w:rsidR="00BB4C02" w:rsidRDefault="00BB4C02" w:rsidP="00BB4C02">
      <w:pPr>
        <w:pStyle w:val="ListParagraph"/>
        <w:numPr>
          <w:ilvl w:val="0"/>
          <w:numId w:val="24"/>
        </w:numPr>
        <w:spacing w:before="100" w:beforeAutospacing="1" w:after="100" w:afterAutospacing="1" w:line="276" w:lineRule="auto"/>
        <w:jc w:val="both"/>
        <w:outlineLvl w:val="0"/>
        <w:rPr>
          <w:rFonts w:ascii="Arial" w:hAnsi="Arial" w:cs="Arial"/>
          <w:bCs/>
        </w:rPr>
      </w:pPr>
      <w:r>
        <w:rPr>
          <w:rFonts w:ascii="Arial" w:hAnsi="Arial" w:cs="Arial"/>
          <w:bCs/>
        </w:rPr>
        <w:t>Insurers</w:t>
      </w:r>
    </w:p>
    <w:p w:rsidR="00BB4C02" w:rsidRDefault="00BB4C02" w:rsidP="00BB4C02">
      <w:pPr>
        <w:pStyle w:val="ListParagraph"/>
        <w:numPr>
          <w:ilvl w:val="1"/>
          <w:numId w:val="24"/>
        </w:numPr>
        <w:spacing w:before="100" w:beforeAutospacing="1" w:after="100" w:afterAutospacing="1" w:line="276" w:lineRule="auto"/>
        <w:jc w:val="both"/>
        <w:outlineLvl w:val="0"/>
        <w:rPr>
          <w:rFonts w:ascii="Arial" w:hAnsi="Arial" w:cs="Arial"/>
          <w:bCs/>
        </w:rPr>
      </w:pPr>
      <w:r>
        <w:rPr>
          <w:rFonts w:ascii="Arial" w:hAnsi="Arial" w:cs="Arial"/>
          <w:bCs/>
        </w:rPr>
        <w:t>Long Term Insurers</w:t>
      </w:r>
    </w:p>
    <w:p w:rsidR="00BB4C02" w:rsidRDefault="00BB4C02" w:rsidP="00BB4C02">
      <w:pPr>
        <w:pStyle w:val="ListParagraph"/>
        <w:numPr>
          <w:ilvl w:val="1"/>
          <w:numId w:val="24"/>
        </w:numPr>
        <w:spacing w:before="100" w:beforeAutospacing="1" w:after="100" w:afterAutospacing="1" w:line="276" w:lineRule="auto"/>
        <w:jc w:val="both"/>
        <w:outlineLvl w:val="0"/>
        <w:rPr>
          <w:rFonts w:ascii="Arial" w:hAnsi="Arial" w:cs="Arial"/>
          <w:bCs/>
        </w:rPr>
      </w:pPr>
      <w:r>
        <w:rPr>
          <w:rFonts w:ascii="Arial" w:hAnsi="Arial" w:cs="Arial"/>
          <w:bCs/>
        </w:rPr>
        <w:t>Short Term Insurers</w:t>
      </w:r>
    </w:p>
    <w:p w:rsidR="00BB4C02" w:rsidRDefault="00BB4C02" w:rsidP="00BB4C02">
      <w:pPr>
        <w:pStyle w:val="ListParagraph"/>
        <w:numPr>
          <w:ilvl w:val="0"/>
          <w:numId w:val="24"/>
        </w:numPr>
        <w:spacing w:before="100" w:beforeAutospacing="1" w:after="100" w:afterAutospacing="1" w:line="276" w:lineRule="auto"/>
        <w:jc w:val="both"/>
        <w:outlineLvl w:val="0"/>
        <w:rPr>
          <w:rFonts w:ascii="Arial" w:hAnsi="Arial" w:cs="Arial"/>
          <w:bCs/>
        </w:rPr>
      </w:pPr>
      <w:r>
        <w:rPr>
          <w:rFonts w:ascii="Arial" w:hAnsi="Arial" w:cs="Arial"/>
          <w:bCs/>
        </w:rPr>
        <w:t>Pension Funds</w:t>
      </w:r>
    </w:p>
    <w:p w:rsidR="00BB4C02" w:rsidRDefault="00BB4C02" w:rsidP="00BB4C02">
      <w:pPr>
        <w:pStyle w:val="ListParagraph"/>
        <w:numPr>
          <w:ilvl w:val="1"/>
          <w:numId w:val="24"/>
        </w:numPr>
        <w:spacing w:before="100" w:beforeAutospacing="1" w:after="100" w:afterAutospacing="1" w:line="276" w:lineRule="auto"/>
        <w:jc w:val="both"/>
        <w:outlineLvl w:val="0"/>
        <w:rPr>
          <w:rFonts w:ascii="Arial" w:hAnsi="Arial" w:cs="Arial"/>
          <w:bCs/>
        </w:rPr>
      </w:pPr>
      <w:r>
        <w:rPr>
          <w:rFonts w:ascii="Arial" w:hAnsi="Arial" w:cs="Arial"/>
          <w:bCs/>
        </w:rPr>
        <w:t>PIC</w:t>
      </w:r>
    </w:p>
    <w:p w:rsidR="00BB4C02" w:rsidRDefault="00BB4C02" w:rsidP="00BB4C02">
      <w:pPr>
        <w:pStyle w:val="ListParagraph"/>
        <w:numPr>
          <w:ilvl w:val="1"/>
          <w:numId w:val="24"/>
        </w:numPr>
        <w:spacing w:before="100" w:beforeAutospacing="1" w:after="100" w:afterAutospacing="1" w:line="276" w:lineRule="auto"/>
        <w:jc w:val="both"/>
        <w:outlineLvl w:val="0"/>
        <w:rPr>
          <w:rFonts w:ascii="Arial" w:hAnsi="Arial" w:cs="Arial"/>
          <w:bCs/>
        </w:rPr>
      </w:pPr>
      <w:r>
        <w:rPr>
          <w:rFonts w:ascii="Arial" w:hAnsi="Arial" w:cs="Arial"/>
          <w:bCs/>
        </w:rPr>
        <w:t>Private self</w:t>
      </w:r>
      <w:r w:rsidR="00834383">
        <w:rPr>
          <w:rFonts w:ascii="Arial" w:hAnsi="Arial" w:cs="Arial"/>
          <w:bCs/>
        </w:rPr>
        <w:t>-</w:t>
      </w:r>
      <w:r>
        <w:rPr>
          <w:rFonts w:ascii="Arial" w:hAnsi="Arial" w:cs="Arial"/>
          <w:bCs/>
        </w:rPr>
        <w:t>administered pension funds</w:t>
      </w:r>
    </w:p>
    <w:p w:rsidR="00BB4C02" w:rsidRDefault="00BB4C02" w:rsidP="00BB4C02">
      <w:pPr>
        <w:pStyle w:val="ListParagraph"/>
        <w:numPr>
          <w:ilvl w:val="1"/>
          <w:numId w:val="24"/>
        </w:numPr>
        <w:spacing w:before="100" w:beforeAutospacing="1" w:after="100" w:afterAutospacing="1" w:line="276" w:lineRule="auto"/>
        <w:jc w:val="both"/>
        <w:outlineLvl w:val="0"/>
        <w:rPr>
          <w:rFonts w:ascii="Arial" w:hAnsi="Arial" w:cs="Arial"/>
          <w:bCs/>
        </w:rPr>
      </w:pPr>
      <w:r>
        <w:rPr>
          <w:rFonts w:ascii="Arial" w:hAnsi="Arial" w:cs="Arial"/>
          <w:bCs/>
        </w:rPr>
        <w:t>Official Pension Funds</w:t>
      </w:r>
    </w:p>
    <w:p w:rsidR="00BB4C02" w:rsidRDefault="00BB4C02" w:rsidP="00BB4C02">
      <w:pPr>
        <w:pStyle w:val="ListParagraph"/>
        <w:numPr>
          <w:ilvl w:val="0"/>
          <w:numId w:val="24"/>
        </w:numPr>
        <w:spacing w:before="100" w:beforeAutospacing="1" w:after="100" w:afterAutospacing="1" w:line="276" w:lineRule="auto"/>
        <w:jc w:val="both"/>
        <w:outlineLvl w:val="0"/>
        <w:rPr>
          <w:rFonts w:ascii="Arial" w:hAnsi="Arial" w:cs="Arial"/>
          <w:bCs/>
        </w:rPr>
      </w:pPr>
      <w:r>
        <w:rPr>
          <w:rFonts w:ascii="Arial" w:hAnsi="Arial" w:cs="Arial"/>
          <w:bCs/>
        </w:rPr>
        <w:t>Other Financial Institutions</w:t>
      </w:r>
    </w:p>
    <w:p w:rsidR="00BB4C02" w:rsidRDefault="00BB4C02" w:rsidP="00BB4C02">
      <w:pPr>
        <w:pStyle w:val="ListParagraph"/>
        <w:numPr>
          <w:ilvl w:val="1"/>
          <w:numId w:val="24"/>
        </w:numPr>
        <w:spacing w:before="100" w:beforeAutospacing="1" w:after="100" w:afterAutospacing="1" w:line="276" w:lineRule="auto"/>
        <w:jc w:val="both"/>
        <w:outlineLvl w:val="0"/>
        <w:rPr>
          <w:rFonts w:ascii="Arial" w:hAnsi="Arial" w:cs="Arial"/>
          <w:bCs/>
        </w:rPr>
      </w:pPr>
      <w:r>
        <w:rPr>
          <w:rFonts w:ascii="Arial" w:hAnsi="Arial" w:cs="Arial"/>
          <w:bCs/>
        </w:rPr>
        <w:t>Unit Trusts</w:t>
      </w:r>
    </w:p>
    <w:p w:rsidR="00BB4C02" w:rsidRDefault="00BB4C02" w:rsidP="00BB4C02">
      <w:pPr>
        <w:pStyle w:val="ListParagraph"/>
        <w:numPr>
          <w:ilvl w:val="1"/>
          <w:numId w:val="24"/>
        </w:numPr>
        <w:spacing w:before="100" w:beforeAutospacing="1" w:after="100" w:afterAutospacing="1" w:line="276" w:lineRule="auto"/>
        <w:jc w:val="both"/>
        <w:outlineLvl w:val="0"/>
        <w:rPr>
          <w:rFonts w:ascii="Arial" w:hAnsi="Arial" w:cs="Arial"/>
          <w:bCs/>
        </w:rPr>
      </w:pPr>
      <w:r>
        <w:rPr>
          <w:rFonts w:ascii="Arial" w:hAnsi="Arial" w:cs="Arial"/>
          <w:bCs/>
        </w:rPr>
        <w:t>Participation Mortgage bond schemes</w:t>
      </w:r>
    </w:p>
    <w:p w:rsidR="00BB4C02" w:rsidRDefault="00BB4C02" w:rsidP="00BB4C02">
      <w:pPr>
        <w:pStyle w:val="ListParagraph"/>
        <w:numPr>
          <w:ilvl w:val="1"/>
          <w:numId w:val="24"/>
        </w:numPr>
        <w:spacing w:before="100" w:beforeAutospacing="1" w:after="100" w:afterAutospacing="1" w:line="276" w:lineRule="auto"/>
        <w:jc w:val="both"/>
        <w:outlineLvl w:val="0"/>
        <w:rPr>
          <w:rFonts w:ascii="Arial" w:hAnsi="Arial" w:cs="Arial"/>
          <w:bCs/>
        </w:rPr>
      </w:pPr>
      <w:r>
        <w:rPr>
          <w:rFonts w:ascii="Arial" w:hAnsi="Arial" w:cs="Arial"/>
          <w:bCs/>
        </w:rPr>
        <w:t>Financial Public enterprises</w:t>
      </w:r>
    </w:p>
    <w:p w:rsidR="00834383" w:rsidRDefault="00BB4C02" w:rsidP="00BB4C02">
      <w:pPr>
        <w:spacing w:before="100" w:beforeAutospacing="1" w:after="100" w:afterAutospacing="1" w:line="276" w:lineRule="auto"/>
        <w:jc w:val="both"/>
        <w:outlineLvl w:val="0"/>
        <w:rPr>
          <w:rFonts w:ascii="Arial" w:hAnsi="Arial" w:cs="Arial"/>
          <w:bCs/>
        </w:rPr>
      </w:pPr>
      <w:r>
        <w:rPr>
          <w:rFonts w:ascii="Arial" w:hAnsi="Arial" w:cs="Arial"/>
          <w:bCs/>
        </w:rPr>
        <w:t>The details of the ultimate holders are not recorded by the NT since the NT’s purview is the primary market.</w:t>
      </w:r>
      <w:r w:rsidR="00F67332">
        <w:rPr>
          <w:rFonts w:ascii="Arial" w:hAnsi="Arial" w:cs="Arial"/>
          <w:bCs/>
        </w:rPr>
        <w:t xml:space="preserve"> It is in the secondary market where these bonds bought and sold by various institutions. The JSE, Strate and the institutions themselves would be best placed to provide details in terms of the quantity of bonds they hold since they transact both on and off-exchange. M</w:t>
      </w:r>
      <w:r w:rsidR="009A432F">
        <w:rPr>
          <w:rFonts w:ascii="Arial" w:hAnsi="Arial" w:cs="Arial"/>
          <w:bCs/>
        </w:rPr>
        <w:t>arket data systems like Bloomberg, Reuters</w:t>
      </w:r>
      <w:r w:rsidR="00F67332">
        <w:rPr>
          <w:rFonts w:ascii="Arial" w:hAnsi="Arial" w:cs="Arial"/>
          <w:bCs/>
        </w:rPr>
        <w:t xml:space="preserve"> would also provide details for the reported market</w:t>
      </w:r>
      <w:r w:rsidR="009A432F">
        <w:rPr>
          <w:rFonts w:ascii="Arial" w:hAnsi="Arial" w:cs="Arial"/>
          <w:bCs/>
        </w:rPr>
        <w:t xml:space="preserve">. </w:t>
      </w:r>
    </w:p>
    <w:p w:rsidR="00834383" w:rsidRDefault="00834383" w:rsidP="00BB4C02">
      <w:pPr>
        <w:spacing w:before="100" w:beforeAutospacing="1" w:after="100" w:afterAutospacing="1" w:line="276" w:lineRule="auto"/>
        <w:jc w:val="both"/>
        <w:outlineLvl w:val="0"/>
        <w:rPr>
          <w:rFonts w:ascii="Arial" w:hAnsi="Arial" w:cs="Arial"/>
          <w:bCs/>
        </w:rPr>
      </w:pPr>
      <w:r>
        <w:rPr>
          <w:rFonts w:ascii="Arial" w:hAnsi="Arial" w:cs="Arial"/>
          <w:bCs/>
        </w:rPr>
        <w:t>It is w</w:t>
      </w:r>
      <w:r w:rsidR="00F67332">
        <w:rPr>
          <w:rFonts w:ascii="Arial" w:hAnsi="Arial" w:cs="Arial"/>
          <w:bCs/>
        </w:rPr>
        <w:t>orth remembering is that t</w:t>
      </w:r>
      <w:r w:rsidR="00700AE5">
        <w:rPr>
          <w:rFonts w:ascii="Arial" w:hAnsi="Arial" w:cs="Arial"/>
          <w:bCs/>
        </w:rPr>
        <w:t>hese institutions would themselves be holding these bonds on behalf of individual investors or policy holders</w:t>
      </w:r>
      <w:r w:rsidR="00F67332">
        <w:rPr>
          <w:rFonts w:ascii="Arial" w:hAnsi="Arial" w:cs="Arial"/>
          <w:bCs/>
        </w:rPr>
        <w:t xml:space="preserve"> who cannot be legally disclosed as per FICA and POPIA act</w:t>
      </w:r>
      <w:r w:rsidR="00700AE5">
        <w:rPr>
          <w:rFonts w:ascii="Arial" w:hAnsi="Arial" w:cs="Arial"/>
          <w:bCs/>
        </w:rPr>
        <w:t xml:space="preserve">. </w:t>
      </w:r>
      <w:r w:rsidR="009A432F">
        <w:rPr>
          <w:rFonts w:ascii="Arial" w:hAnsi="Arial" w:cs="Arial"/>
          <w:bCs/>
        </w:rPr>
        <w:t>The h</w:t>
      </w:r>
      <w:r w:rsidR="00BB4C02">
        <w:rPr>
          <w:rFonts w:ascii="Arial" w:hAnsi="Arial" w:cs="Arial"/>
          <w:bCs/>
        </w:rPr>
        <w:t xml:space="preserve">oldings change regularly owing to the needs of each category of holder. For </w:t>
      </w:r>
      <w:r w:rsidR="00206208">
        <w:rPr>
          <w:rFonts w:ascii="Arial" w:hAnsi="Arial" w:cs="Arial"/>
          <w:bCs/>
        </w:rPr>
        <w:t>example,</w:t>
      </w:r>
      <w:r w:rsidR="00BB4C02">
        <w:rPr>
          <w:rFonts w:ascii="Arial" w:hAnsi="Arial" w:cs="Arial"/>
          <w:bCs/>
        </w:rPr>
        <w:t xml:space="preserve"> insurers would buy long term debt to meet long term obligations however they may need to liquidate </w:t>
      </w:r>
      <w:r w:rsidR="00206208">
        <w:rPr>
          <w:rFonts w:ascii="Arial" w:hAnsi="Arial" w:cs="Arial"/>
          <w:bCs/>
        </w:rPr>
        <w:t>short- and medium-term</w:t>
      </w:r>
      <w:r w:rsidR="00BB4C02">
        <w:rPr>
          <w:rFonts w:ascii="Arial" w:hAnsi="Arial" w:cs="Arial"/>
          <w:bCs/>
        </w:rPr>
        <w:t xml:space="preserve"> bond holdings if claims rose suddenly. Pensions fund</w:t>
      </w:r>
      <w:r w:rsidR="009A432F">
        <w:rPr>
          <w:rFonts w:ascii="Arial" w:hAnsi="Arial" w:cs="Arial"/>
          <w:bCs/>
        </w:rPr>
        <w:t>s</w:t>
      </w:r>
      <w:r w:rsidR="00BB4C02">
        <w:rPr>
          <w:rFonts w:ascii="Arial" w:hAnsi="Arial" w:cs="Arial"/>
          <w:bCs/>
        </w:rPr>
        <w:t xml:space="preserve"> would </w:t>
      </w:r>
      <w:r w:rsidR="009A432F">
        <w:rPr>
          <w:rFonts w:ascii="Arial" w:hAnsi="Arial" w:cs="Arial"/>
          <w:bCs/>
        </w:rPr>
        <w:t xml:space="preserve">rebalance their portfolios regularly based on the investment mandate of their portfolios and whether or not they are managing an external portfolio. For this reason </w:t>
      </w:r>
      <w:r w:rsidR="00700AE5">
        <w:rPr>
          <w:rFonts w:ascii="Arial" w:hAnsi="Arial" w:cs="Arial"/>
          <w:bCs/>
        </w:rPr>
        <w:t xml:space="preserve">and many others, </w:t>
      </w:r>
      <w:r w:rsidR="009A432F">
        <w:rPr>
          <w:rFonts w:ascii="Arial" w:hAnsi="Arial" w:cs="Arial"/>
          <w:bCs/>
        </w:rPr>
        <w:t>it is impractical</w:t>
      </w:r>
      <w:r w:rsidR="00F67332">
        <w:rPr>
          <w:rFonts w:ascii="Arial" w:hAnsi="Arial" w:cs="Arial"/>
          <w:bCs/>
        </w:rPr>
        <w:t xml:space="preserve"> for NT</w:t>
      </w:r>
      <w:r w:rsidR="009A432F">
        <w:rPr>
          <w:rFonts w:ascii="Arial" w:hAnsi="Arial" w:cs="Arial"/>
          <w:bCs/>
        </w:rPr>
        <w:t xml:space="preserve"> to quantify how much each institutional holder owns at a point in time</w:t>
      </w:r>
      <w:r w:rsidR="00F67332">
        <w:rPr>
          <w:rFonts w:ascii="Arial" w:hAnsi="Arial" w:cs="Arial"/>
          <w:bCs/>
        </w:rPr>
        <w:t xml:space="preserve"> or what interest rate they are receiving since they would hold bonds along the yield curve</w:t>
      </w:r>
      <w:r w:rsidR="009A432F">
        <w:rPr>
          <w:rFonts w:ascii="Arial" w:hAnsi="Arial" w:cs="Arial"/>
          <w:bCs/>
        </w:rPr>
        <w:t>.</w:t>
      </w:r>
      <w:r w:rsidR="00F67332">
        <w:rPr>
          <w:rFonts w:ascii="Arial" w:hAnsi="Arial" w:cs="Arial"/>
          <w:bCs/>
        </w:rPr>
        <w:t xml:space="preserve"> </w:t>
      </w:r>
    </w:p>
    <w:p w:rsidR="00BB4C02" w:rsidRPr="00BB4C02" w:rsidRDefault="00F67332" w:rsidP="00BB4C02">
      <w:pPr>
        <w:spacing w:before="100" w:beforeAutospacing="1" w:after="100" w:afterAutospacing="1" w:line="276" w:lineRule="auto"/>
        <w:jc w:val="both"/>
        <w:outlineLvl w:val="0"/>
        <w:rPr>
          <w:rFonts w:ascii="Arial" w:hAnsi="Arial" w:cs="Arial"/>
          <w:bCs/>
        </w:rPr>
      </w:pPr>
      <w:r>
        <w:rPr>
          <w:rFonts w:ascii="Arial" w:hAnsi="Arial" w:cs="Arial"/>
          <w:bCs/>
        </w:rPr>
        <w:t xml:space="preserve">Institutions also frequently engage in interest rate swaps to manage their risk which would transfer those rates to other entities. </w:t>
      </w:r>
      <w:r w:rsidR="00700AE5">
        <w:rPr>
          <w:rFonts w:ascii="Arial" w:hAnsi="Arial" w:cs="Arial"/>
          <w:bCs/>
        </w:rPr>
        <w:t>Retail bonds are held by individual investors whose names cannot be disclosed</w:t>
      </w:r>
      <w:r>
        <w:rPr>
          <w:rFonts w:ascii="Arial" w:hAnsi="Arial" w:cs="Arial"/>
          <w:bCs/>
        </w:rPr>
        <w:t>. Retail bond interest rates are available on the retail bonds website along with the terms and conditions of each retail bond.</w:t>
      </w:r>
    </w:p>
    <w:p w:rsidR="0045306C" w:rsidRPr="00F67332" w:rsidRDefault="00BB4C02" w:rsidP="0035559A">
      <w:pPr>
        <w:spacing w:before="100" w:beforeAutospacing="1" w:after="100" w:afterAutospacing="1" w:line="276" w:lineRule="auto"/>
        <w:jc w:val="both"/>
        <w:outlineLvl w:val="0"/>
        <w:rPr>
          <w:rFonts w:ascii="Arial" w:hAnsi="Arial" w:cs="Arial"/>
          <w:bCs/>
        </w:rPr>
      </w:pPr>
      <w:r>
        <w:rPr>
          <w:rFonts w:ascii="Arial" w:hAnsi="Arial" w:cs="Arial"/>
          <w:bCs/>
        </w:rPr>
        <w:br/>
      </w:r>
      <w:r w:rsidR="0045306C">
        <w:rPr>
          <w:rFonts w:ascii="Arial" w:hAnsi="Arial" w:cs="Arial"/>
          <w:noProof/>
        </w:rPr>
        <w:t>The National Treasury publishes monthly d</w:t>
      </w:r>
      <w:r w:rsidR="0045306C" w:rsidRPr="0045306C">
        <w:rPr>
          <w:rFonts w:ascii="Arial" w:hAnsi="Arial" w:cs="Arial"/>
          <w:noProof/>
        </w:rPr>
        <w:t xml:space="preserve">etailed information </w:t>
      </w:r>
      <w:r w:rsidR="0045306C">
        <w:rPr>
          <w:rFonts w:ascii="Arial" w:hAnsi="Arial" w:cs="Arial"/>
          <w:noProof/>
        </w:rPr>
        <w:t>on</w:t>
      </w:r>
      <w:r w:rsidR="0045306C" w:rsidRPr="0045306C">
        <w:rPr>
          <w:rFonts w:ascii="Arial" w:hAnsi="Arial" w:cs="Arial"/>
          <w:noProof/>
        </w:rPr>
        <w:t xml:space="preserve"> outstanding bonds, redemption dates, redemption amounts, and coupon rates can be found on the National Treasury's investor website.</w:t>
      </w:r>
      <w:r w:rsidR="00E05277">
        <w:rPr>
          <w:rFonts w:ascii="Arial" w:hAnsi="Arial" w:cs="Arial"/>
          <w:noProof/>
        </w:rPr>
        <w:t xml:space="preserve"> The same details can be found in the SARB</w:t>
      </w:r>
      <w:r w:rsidR="00834383">
        <w:rPr>
          <w:rFonts w:ascii="Arial" w:hAnsi="Arial" w:cs="Arial"/>
          <w:noProof/>
        </w:rPr>
        <w:t>’</w:t>
      </w:r>
      <w:r w:rsidR="00E05277">
        <w:rPr>
          <w:rFonts w:ascii="Arial" w:hAnsi="Arial" w:cs="Arial"/>
          <w:noProof/>
        </w:rPr>
        <w:t>s quartely bulletin.</w:t>
      </w:r>
    </w:p>
    <w:p w:rsidR="0045306C" w:rsidRPr="0045306C" w:rsidRDefault="00263964" w:rsidP="0035559A">
      <w:pPr>
        <w:spacing w:before="100" w:beforeAutospacing="1" w:after="100" w:afterAutospacing="1" w:line="276" w:lineRule="auto"/>
        <w:jc w:val="both"/>
        <w:outlineLvl w:val="0"/>
        <w:rPr>
          <w:rFonts w:ascii="Arial" w:hAnsi="Arial" w:cs="Arial"/>
          <w:noProof/>
        </w:rPr>
      </w:pPr>
      <w:hyperlink r:id="rId11" w:history="1">
        <w:r w:rsidR="0045306C" w:rsidRPr="0095125F">
          <w:rPr>
            <w:rStyle w:val="Hyperlink"/>
            <w:rFonts w:ascii="Arial" w:hAnsi="Arial" w:cs="Arial"/>
            <w:noProof/>
          </w:rPr>
          <w:t>http://investor.treasury.gov.za/pages/default.aspx</w:t>
        </w:r>
      </w:hyperlink>
      <w:r w:rsidR="0045306C">
        <w:rPr>
          <w:rFonts w:ascii="Arial" w:hAnsi="Arial" w:cs="Arial"/>
          <w:noProof/>
        </w:rPr>
        <w:t xml:space="preserve"> </w:t>
      </w:r>
    </w:p>
    <w:p w:rsidR="00451703" w:rsidRPr="007150F3" w:rsidRDefault="0045306C" w:rsidP="007150F3">
      <w:pPr>
        <w:spacing w:before="100" w:beforeAutospacing="1" w:after="100" w:afterAutospacing="1" w:line="276" w:lineRule="auto"/>
        <w:jc w:val="both"/>
        <w:outlineLvl w:val="0"/>
        <w:rPr>
          <w:rFonts w:ascii="Arial" w:hAnsi="Arial" w:cs="Arial"/>
          <w:bCs/>
        </w:rPr>
      </w:pPr>
      <w:r>
        <w:rPr>
          <w:rFonts w:ascii="Arial" w:hAnsi="Arial" w:cs="Arial"/>
          <w:noProof/>
        </w:rPr>
        <w:t>T</w:t>
      </w:r>
      <w:r w:rsidR="00451703" w:rsidRPr="007150F3">
        <w:rPr>
          <w:rFonts w:ascii="Arial" w:hAnsi="Arial" w:cs="Arial"/>
          <w:noProof/>
        </w:rPr>
        <w:t>able 7.5 of the 2022 Budget Review</w:t>
      </w:r>
      <w:r w:rsidR="0099376E">
        <w:rPr>
          <w:rFonts w:ascii="Arial" w:hAnsi="Arial" w:cs="Arial"/>
          <w:noProof/>
        </w:rPr>
        <w:t xml:space="preserve"> reflects </w:t>
      </w:r>
      <w:r>
        <w:rPr>
          <w:rFonts w:ascii="Arial" w:hAnsi="Arial" w:cs="Arial"/>
          <w:noProof/>
        </w:rPr>
        <w:t>the international financing institution borrowings</w:t>
      </w:r>
      <w:r w:rsidR="007150F3" w:rsidRPr="007150F3">
        <w:rPr>
          <w:rFonts w:ascii="Arial" w:hAnsi="Arial" w:cs="Arial"/>
          <w:noProof/>
        </w:rPr>
        <w:t>. The table provides</w:t>
      </w:r>
      <w:r>
        <w:rPr>
          <w:rFonts w:ascii="Arial" w:hAnsi="Arial" w:cs="Arial"/>
          <w:noProof/>
        </w:rPr>
        <w:t xml:space="preserve"> information on the institution</w:t>
      </w:r>
      <w:r w:rsidR="007150F3" w:rsidRPr="007150F3">
        <w:rPr>
          <w:rFonts w:ascii="Arial" w:hAnsi="Arial" w:cs="Arial"/>
          <w:noProof/>
        </w:rPr>
        <w:t xml:space="preserve">, </w:t>
      </w:r>
      <w:r>
        <w:rPr>
          <w:rFonts w:ascii="Arial" w:hAnsi="Arial" w:cs="Arial"/>
          <w:noProof/>
        </w:rPr>
        <w:t>d</w:t>
      </w:r>
      <w:r w:rsidR="007150F3" w:rsidRPr="007150F3">
        <w:rPr>
          <w:rFonts w:ascii="Arial" w:hAnsi="Arial" w:cs="Arial"/>
          <w:noProof/>
        </w:rPr>
        <w:t xml:space="preserve">isbursement date, </w:t>
      </w:r>
      <w:r>
        <w:rPr>
          <w:rFonts w:ascii="Arial" w:hAnsi="Arial" w:cs="Arial"/>
          <w:noProof/>
        </w:rPr>
        <w:t>i</w:t>
      </w:r>
      <w:r w:rsidR="007150F3" w:rsidRPr="007150F3">
        <w:rPr>
          <w:rFonts w:ascii="Arial" w:hAnsi="Arial" w:cs="Arial"/>
          <w:noProof/>
        </w:rPr>
        <w:t xml:space="preserve">nterest rate, </w:t>
      </w:r>
      <w:r>
        <w:rPr>
          <w:rFonts w:ascii="Arial" w:hAnsi="Arial" w:cs="Arial"/>
          <w:noProof/>
        </w:rPr>
        <w:t>terms (years), grace period (years), and a</w:t>
      </w:r>
      <w:r w:rsidR="007150F3" w:rsidRPr="007150F3">
        <w:rPr>
          <w:rFonts w:ascii="Arial" w:hAnsi="Arial" w:cs="Arial"/>
          <w:noProof/>
        </w:rPr>
        <w:t>mount (billion).</w:t>
      </w:r>
      <w:r w:rsidR="004439C6">
        <w:rPr>
          <w:rFonts w:ascii="Arial" w:hAnsi="Arial" w:cs="Arial"/>
          <w:noProof/>
        </w:rPr>
        <w:t xml:space="preserve"> Fro</w:t>
      </w:r>
      <w:r w:rsidR="00D57E95">
        <w:rPr>
          <w:rFonts w:ascii="Arial" w:hAnsi="Arial" w:cs="Arial"/>
          <w:noProof/>
        </w:rPr>
        <w:t xml:space="preserve">m the table, </w:t>
      </w:r>
      <w:r w:rsidR="004439C6">
        <w:rPr>
          <w:rFonts w:ascii="Arial" w:hAnsi="Arial" w:cs="Arial"/>
          <w:noProof/>
        </w:rPr>
        <w:t>the borrowing has only been long-term in nature, with no short-term loans being entered into.</w:t>
      </w:r>
    </w:p>
    <w:p w:rsidR="00951562" w:rsidRPr="008C7835" w:rsidRDefault="007150F3" w:rsidP="00E130CF">
      <w:pPr>
        <w:spacing w:before="100" w:beforeAutospacing="1" w:after="100" w:afterAutospacing="1" w:line="276" w:lineRule="auto"/>
        <w:jc w:val="both"/>
        <w:outlineLvl w:val="0"/>
        <w:rPr>
          <w:rFonts w:ascii="Arial" w:hAnsi="Arial" w:cs="Arial"/>
          <w:b/>
        </w:rPr>
      </w:pPr>
      <w:r w:rsidRPr="007150F3">
        <w:rPr>
          <w:noProof/>
          <w:lang w:val="en-ZA" w:eastAsia="en-ZA"/>
        </w:rPr>
        <w:drawing>
          <wp:inline distT="0" distB="0" distL="0" distR="0">
            <wp:extent cx="5759450" cy="2553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2553543"/>
                    </a:xfrm>
                    <a:prstGeom prst="rect">
                      <a:avLst/>
                    </a:prstGeom>
                    <a:noFill/>
                    <a:ln>
                      <a:noFill/>
                    </a:ln>
                  </pic:spPr>
                </pic:pic>
              </a:graphicData>
            </a:graphic>
          </wp:inline>
        </w:drawing>
      </w:r>
    </w:p>
    <w:p w:rsidR="00C061CF" w:rsidRPr="00553EDC" w:rsidRDefault="00C061CF" w:rsidP="00C061CF">
      <w:pPr>
        <w:pBdr>
          <w:bottom w:val="single" w:sz="6" w:space="31" w:color="auto"/>
        </w:pBdr>
        <w:tabs>
          <w:tab w:val="left" w:pos="432"/>
          <w:tab w:val="left" w:pos="864"/>
        </w:tabs>
        <w:spacing w:line="360" w:lineRule="auto"/>
        <w:jc w:val="both"/>
        <w:rPr>
          <w:rFonts w:ascii="Arial" w:hAnsi="Arial" w:cs="Arial"/>
          <w:b/>
          <w:sz w:val="22"/>
          <w:szCs w:val="22"/>
        </w:rPr>
      </w:pPr>
    </w:p>
    <w:sectPr w:rsidR="00C061CF" w:rsidRPr="00553EDC" w:rsidSect="00D537FD">
      <w:footerReference w:type="default" r:id="rId13"/>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033" w:rsidRDefault="003B3033" w:rsidP="00380E88">
      <w:r>
        <w:separator/>
      </w:r>
    </w:p>
  </w:endnote>
  <w:endnote w:type="continuationSeparator" w:id="0">
    <w:p w:rsidR="003B3033" w:rsidRDefault="003B3033"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263964">
        <w:pPr>
          <w:pStyle w:val="Footer"/>
          <w:jc w:val="center"/>
        </w:pPr>
        <w:r>
          <w:fldChar w:fldCharType="begin"/>
        </w:r>
        <w:r w:rsidR="006C2B5C">
          <w:instrText xml:space="preserve"> PAGE   \* MERGEFORMAT </w:instrText>
        </w:r>
        <w:r>
          <w:fldChar w:fldCharType="separate"/>
        </w:r>
        <w:r w:rsidR="003B3033">
          <w:rPr>
            <w:noProof/>
          </w:rPr>
          <w:t>1</w:t>
        </w:r>
        <w:r>
          <w:rPr>
            <w:noProof/>
          </w:rPr>
          <w:fldChar w:fldCharType="end"/>
        </w:r>
      </w:p>
    </w:sdtContent>
  </w:sdt>
  <w:p w:rsidR="006C2B5C" w:rsidRDefault="006C2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033" w:rsidRDefault="003B3033" w:rsidP="00380E88">
      <w:r>
        <w:separator/>
      </w:r>
    </w:p>
  </w:footnote>
  <w:footnote w:type="continuationSeparator" w:id="0">
    <w:p w:rsidR="003B3033" w:rsidRDefault="003B3033"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C6"/>
    <w:multiLevelType w:val="hybridMultilevel"/>
    <w:tmpl w:val="1E1698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1DC47F4"/>
    <w:multiLevelType w:val="hybridMultilevel"/>
    <w:tmpl w:val="5492D1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1B427255"/>
    <w:multiLevelType w:val="hybridMultilevel"/>
    <w:tmpl w:val="9C90F09A"/>
    <w:lvl w:ilvl="0" w:tplc="DE503C2A">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0B6997"/>
    <w:multiLevelType w:val="hybridMultilevel"/>
    <w:tmpl w:val="B26696FC"/>
    <w:lvl w:ilvl="0" w:tplc="1BBA0C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46B501B"/>
    <w:multiLevelType w:val="hybridMultilevel"/>
    <w:tmpl w:val="DCC865BC"/>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58817DE"/>
    <w:multiLevelType w:val="hybridMultilevel"/>
    <w:tmpl w:val="C20240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8B64D25"/>
    <w:multiLevelType w:val="hybridMultilevel"/>
    <w:tmpl w:val="77A0AC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9">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A08472D"/>
    <w:multiLevelType w:val="hybridMultilevel"/>
    <w:tmpl w:val="AE6E5BE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4C9A7DC5"/>
    <w:multiLevelType w:val="hybridMultilevel"/>
    <w:tmpl w:val="38125538"/>
    <w:lvl w:ilvl="0" w:tplc="7DC42DD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D115A3C"/>
    <w:multiLevelType w:val="hybridMultilevel"/>
    <w:tmpl w:val="E1FC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59C77F39"/>
    <w:multiLevelType w:val="hybridMultilevel"/>
    <w:tmpl w:val="01045A0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2173006"/>
    <w:multiLevelType w:val="hybridMultilevel"/>
    <w:tmpl w:val="3C32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21">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7"/>
  </w:num>
  <w:num w:numId="2">
    <w:abstractNumId w:val="18"/>
  </w:num>
  <w:num w:numId="3">
    <w:abstractNumId w:val="14"/>
  </w:num>
  <w:num w:numId="4">
    <w:abstractNumId w:val="9"/>
  </w:num>
  <w:num w:numId="5">
    <w:abstractNumId w:val="21"/>
  </w:num>
  <w:num w:numId="6">
    <w:abstractNumId w:val="8"/>
  </w:num>
  <w:num w:numId="7">
    <w:abstractNumId w:val="8"/>
  </w:num>
  <w:num w:numId="8">
    <w:abstractNumId w:val="22"/>
  </w:num>
  <w:num w:numId="9">
    <w:abstractNumId w:val="7"/>
  </w:num>
  <w:num w:numId="10">
    <w:abstractNumId w:val="13"/>
  </w:num>
  <w:num w:numId="11">
    <w:abstractNumId w:val="20"/>
  </w:num>
  <w:num w:numId="12">
    <w:abstractNumId w:val="15"/>
  </w:num>
  <w:num w:numId="13">
    <w:abstractNumId w:val="11"/>
  </w:num>
  <w:num w:numId="14">
    <w:abstractNumId w:val="1"/>
  </w:num>
  <w:num w:numId="15">
    <w:abstractNumId w:val="19"/>
  </w:num>
  <w:num w:numId="16">
    <w:abstractNumId w:val="2"/>
  </w:num>
  <w:num w:numId="17">
    <w:abstractNumId w:val="6"/>
  </w:num>
  <w:num w:numId="18">
    <w:abstractNumId w:val="12"/>
  </w:num>
  <w:num w:numId="19">
    <w:abstractNumId w:val="0"/>
  </w:num>
  <w:num w:numId="20">
    <w:abstractNumId w:val="4"/>
  </w:num>
  <w:num w:numId="21">
    <w:abstractNumId w:val="3"/>
  </w:num>
  <w:num w:numId="22">
    <w:abstractNumId w:val="5"/>
  </w:num>
  <w:num w:numId="23">
    <w:abstractNumId w:val="1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DQwNbQwM7MwNLM0NjdU0lEKTi0uzszPAykwrQUAw87p5ywAAAA="/>
  </w:docVars>
  <w:rsids>
    <w:rsidRoot w:val="00063E28"/>
    <w:rsid w:val="000054AE"/>
    <w:rsid w:val="00005F25"/>
    <w:rsid w:val="00011016"/>
    <w:rsid w:val="00012A82"/>
    <w:rsid w:val="000147EE"/>
    <w:rsid w:val="00016A41"/>
    <w:rsid w:val="00017720"/>
    <w:rsid w:val="00020C04"/>
    <w:rsid w:val="000235AD"/>
    <w:rsid w:val="00023BC3"/>
    <w:rsid w:val="00025170"/>
    <w:rsid w:val="00026160"/>
    <w:rsid w:val="0002634B"/>
    <w:rsid w:val="000319D5"/>
    <w:rsid w:val="00037869"/>
    <w:rsid w:val="00041437"/>
    <w:rsid w:val="00042E4A"/>
    <w:rsid w:val="00053303"/>
    <w:rsid w:val="0005383F"/>
    <w:rsid w:val="00060E09"/>
    <w:rsid w:val="00063E28"/>
    <w:rsid w:val="0007743C"/>
    <w:rsid w:val="00080BD0"/>
    <w:rsid w:val="00082DDF"/>
    <w:rsid w:val="0008596C"/>
    <w:rsid w:val="00091852"/>
    <w:rsid w:val="00094D64"/>
    <w:rsid w:val="000968CF"/>
    <w:rsid w:val="000A3C32"/>
    <w:rsid w:val="000A5567"/>
    <w:rsid w:val="000A57B1"/>
    <w:rsid w:val="000B16E9"/>
    <w:rsid w:val="000B51CC"/>
    <w:rsid w:val="000B555E"/>
    <w:rsid w:val="000C2BEF"/>
    <w:rsid w:val="000C3917"/>
    <w:rsid w:val="000C395C"/>
    <w:rsid w:val="000C48D8"/>
    <w:rsid w:val="000D0973"/>
    <w:rsid w:val="000D33E9"/>
    <w:rsid w:val="000D5DF7"/>
    <w:rsid w:val="000E1B36"/>
    <w:rsid w:val="000E3AD1"/>
    <w:rsid w:val="000F0AF6"/>
    <w:rsid w:val="000F2CE8"/>
    <w:rsid w:val="000F37A4"/>
    <w:rsid w:val="000F3B14"/>
    <w:rsid w:val="000F45A0"/>
    <w:rsid w:val="000F5178"/>
    <w:rsid w:val="00100CC2"/>
    <w:rsid w:val="00103805"/>
    <w:rsid w:val="00104BEC"/>
    <w:rsid w:val="00106C7A"/>
    <w:rsid w:val="001075F8"/>
    <w:rsid w:val="00110946"/>
    <w:rsid w:val="0012155F"/>
    <w:rsid w:val="00122C88"/>
    <w:rsid w:val="00123B87"/>
    <w:rsid w:val="00124B64"/>
    <w:rsid w:val="00130348"/>
    <w:rsid w:val="00132CAF"/>
    <w:rsid w:val="00132CF0"/>
    <w:rsid w:val="001433AE"/>
    <w:rsid w:val="001436F1"/>
    <w:rsid w:val="0014441E"/>
    <w:rsid w:val="001463EE"/>
    <w:rsid w:val="00147193"/>
    <w:rsid w:val="0015727B"/>
    <w:rsid w:val="00170407"/>
    <w:rsid w:val="00181016"/>
    <w:rsid w:val="00183EB5"/>
    <w:rsid w:val="00197576"/>
    <w:rsid w:val="001B0917"/>
    <w:rsid w:val="001B1E0F"/>
    <w:rsid w:val="001B5BD3"/>
    <w:rsid w:val="001B7F2A"/>
    <w:rsid w:val="001C1E62"/>
    <w:rsid w:val="001C5A77"/>
    <w:rsid w:val="001D24BA"/>
    <w:rsid w:val="001D267B"/>
    <w:rsid w:val="001D4937"/>
    <w:rsid w:val="001E1132"/>
    <w:rsid w:val="001E379C"/>
    <w:rsid w:val="001E3FB5"/>
    <w:rsid w:val="001E58AC"/>
    <w:rsid w:val="001E6902"/>
    <w:rsid w:val="001F0769"/>
    <w:rsid w:val="001F4B50"/>
    <w:rsid w:val="001F6D0E"/>
    <w:rsid w:val="001F7560"/>
    <w:rsid w:val="00204B61"/>
    <w:rsid w:val="00206208"/>
    <w:rsid w:val="002065BA"/>
    <w:rsid w:val="00207912"/>
    <w:rsid w:val="00216997"/>
    <w:rsid w:val="00223863"/>
    <w:rsid w:val="0022502D"/>
    <w:rsid w:val="00230BF6"/>
    <w:rsid w:val="002314BC"/>
    <w:rsid w:val="00231753"/>
    <w:rsid w:val="00237B23"/>
    <w:rsid w:val="00251791"/>
    <w:rsid w:val="002565E0"/>
    <w:rsid w:val="00260251"/>
    <w:rsid w:val="00262F05"/>
    <w:rsid w:val="00263964"/>
    <w:rsid w:val="0026563C"/>
    <w:rsid w:val="00271C0F"/>
    <w:rsid w:val="0027436F"/>
    <w:rsid w:val="0028148D"/>
    <w:rsid w:val="002817AC"/>
    <w:rsid w:val="00281A7C"/>
    <w:rsid w:val="00283C35"/>
    <w:rsid w:val="002855CE"/>
    <w:rsid w:val="00285EA1"/>
    <w:rsid w:val="0028635F"/>
    <w:rsid w:val="002867DD"/>
    <w:rsid w:val="002914E0"/>
    <w:rsid w:val="002927CD"/>
    <w:rsid w:val="00293E24"/>
    <w:rsid w:val="002A4157"/>
    <w:rsid w:val="002A588E"/>
    <w:rsid w:val="002B3B25"/>
    <w:rsid w:val="002B7345"/>
    <w:rsid w:val="002D104B"/>
    <w:rsid w:val="002D10B3"/>
    <w:rsid w:val="002D2A4C"/>
    <w:rsid w:val="002D499A"/>
    <w:rsid w:val="002D54F7"/>
    <w:rsid w:val="002E4AA0"/>
    <w:rsid w:val="002F6E86"/>
    <w:rsid w:val="003005D2"/>
    <w:rsid w:val="00303F4E"/>
    <w:rsid w:val="00326CF2"/>
    <w:rsid w:val="003323CF"/>
    <w:rsid w:val="003421BD"/>
    <w:rsid w:val="00344553"/>
    <w:rsid w:val="00345531"/>
    <w:rsid w:val="00346695"/>
    <w:rsid w:val="00351BF5"/>
    <w:rsid w:val="00354BA4"/>
    <w:rsid w:val="0035559A"/>
    <w:rsid w:val="003707A7"/>
    <w:rsid w:val="00374DCE"/>
    <w:rsid w:val="0037795E"/>
    <w:rsid w:val="00380E88"/>
    <w:rsid w:val="003817F5"/>
    <w:rsid w:val="003845EF"/>
    <w:rsid w:val="00393919"/>
    <w:rsid w:val="003A5B00"/>
    <w:rsid w:val="003A6BD5"/>
    <w:rsid w:val="003B0336"/>
    <w:rsid w:val="003B0A2D"/>
    <w:rsid w:val="003B3033"/>
    <w:rsid w:val="003B72D6"/>
    <w:rsid w:val="003C24F7"/>
    <w:rsid w:val="003C4E57"/>
    <w:rsid w:val="003D0E83"/>
    <w:rsid w:val="003D5A20"/>
    <w:rsid w:val="003D6E21"/>
    <w:rsid w:val="003E03B4"/>
    <w:rsid w:val="003E2711"/>
    <w:rsid w:val="003E6A8B"/>
    <w:rsid w:val="003F1329"/>
    <w:rsid w:val="003F6A56"/>
    <w:rsid w:val="004112AE"/>
    <w:rsid w:val="00413ABE"/>
    <w:rsid w:val="00413C95"/>
    <w:rsid w:val="00422EC6"/>
    <w:rsid w:val="004260E9"/>
    <w:rsid w:val="0042645C"/>
    <w:rsid w:val="00426C51"/>
    <w:rsid w:val="00426D08"/>
    <w:rsid w:val="00427ECA"/>
    <w:rsid w:val="0043065E"/>
    <w:rsid w:val="00435349"/>
    <w:rsid w:val="00435EA2"/>
    <w:rsid w:val="004373C8"/>
    <w:rsid w:val="004439C6"/>
    <w:rsid w:val="00451703"/>
    <w:rsid w:val="0045306C"/>
    <w:rsid w:val="00453CF1"/>
    <w:rsid w:val="00455DF1"/>
    <w:rsid w:val="0046713E"/>
    <w:rsid w:val="004709BD"/>
    <w:rsid w:val="00472D86"/>
    <w:rsid w:val="00473446"/>
    <w:rsid w:val="00474BDC"/>
    <w:rsid w:val="00480D1F"/>
    <w:rsid w:val="00484737"/>
    <w:rsid w:val="00485B2E"/>
    <w:rsid w:val="00485F09"/>
    <w:rsid w:val="004936B2"/>
    <w:rsid w:val="00495422"/>
    <w:rsid w:val="00496D69"/>
    <w:rsid w:val="004A078E"/>
    <w:rsid w:val="004A483C"/>
    <w:rsid w:val="004A7866"/>
    <w:rsid w:val="004B1526"/>
    <w:rsid w:val="004B6552"/>
    <w:rsid w:val="004C0E9B"/>
    <w:rsid w:val="004C0FCD"/>
    <w:rsid w:val="004C57A4"/>
    <w:rsid w:val="004C6CE8"/>
    <w:rsid w:val="004D074E"/>
    <w:rsid w:val="004D3BF2"/>
    <w:rsid w:val="004D3D5A"/>
    <w:rsid w:val="004D51F0"/>
    <w:rsid w:val="004D568A"/>
    <w:rsid w:val="004E3098"/>
    <w:rsid w:val="004E6E7D"/>
    <w:rsid w:val="004F43FB"/>
    <w:rsid w:val="00503CF8"/>
    <w:rsid w:val="005062A3"/>
    <w:rsid w:val="00513747"/>
    <w:rsid w:val="00513A6D"/>
    <w:rsid w:val="005141B3"/>
    <w:rsid w:val="00522B65"/>
    <w:rsid w:val="005313B2"/>
    <w:rsid w:val="00532BB4"/>
    <w:rsid w:val="0053398C"/>
    <w:rsid w:val="00533BBC"/>
    <w:rsid w:val="00533C35"/>
    <w:rsid w:val="00546555"/>
    <w:rsid w:val="00547158"/>
    <w:rsid w:val="00547F39"/>
    <w:rsid w:val="0055290F"/>
    <w:rsid w:val="00553EDC"/>
    <w:rsid w:val="00566101"/>
    <w:rsid w:val="005706F1"/>
    <w:rsid w:val="00574E19"/>
    <w:rsid w:val="005801E0"/>
    <w:rsid w:val="005853FD"/>
    <w:rsid w:val="005A3443"/>
    <w:rsid w:val="005A4B7A"/>
    <w:rsid w:val="005B6F0A"/>
    <w:rsid w:val="005D0154"/>
    <w:rsid w:val="005D556E"/>
    <w:rsid w:val="005E21D9"/>
    <w:rsid w:val="005E32E0"/>
    <w:rsid w:val="005E415D"/>
    <w:rsid w:val="005F05C1"/>
    <w:rsid w:val="005F11A2"/>
    <w:rsid w:val="005F3E3B"/>
    <w:rsid w:val="005F6B76"/>
    <w:rsid w:val="00613FC6"/>
    <w:rsid w:val="006239F1"/>
    <w:rsid w:val="00624D20"/>
    <w:rsid w:val="0062770E"/>
    <w:rsid w:val="00631CD4"/>
    <w:rsid w:val="00641158"/>
    <w:rsid w:val="00641BED"/>
    <w:rsid w:val="0064275F"/>
    <w:rsid w:val="00642B16"/>
    <w:rsid w:val="0064512A"/>
    <w:rsid w:val="00646E7C"/>
    <w:rsid w:val="00647EF2"/>
    <w:rsid w:val="00651616"/>
    <w:rsid w:val="00653A85"/>
    <w:rsid w:val="00666668"/>
    <w:rsid w:val="00670B2F"/>
    <w:rsid w:val="0067264D"/>
    <w:rsid w:val="00675635"/>
    <w:rsid w:val="00685058"/>
    <w:rsid w:val="00685F0E"/>
    <w:rsid w:val="00687D9E"/>
    <w:rsid w:val="00693A64"/>
    <w:rsid w:val="006951C6"/>
    <w:rsid w:val="006A1B24"/>
    <w:rsid w:val="006B61B0"/>
    <w:rsid w:val="006B7908"/>
    <w:rsid w:val="006C1C02"/>
    <w:rsid w:val="006C2191"/>
    <w:rsid w:val="006C2B5C"/>
    <w:rsid w:val="006C2D5C"/>
    <w:rsid w:val="006D1766"/>
    <w:rsid w:val="006D1B36"/>
    <w:rsid w:val="006D2C61"/>
    <w:rsid w:val="006D2F61"/>
    <w:rsid w:val="006D37C3"/>
    <w:rsid w:val="006D39E9"/>
    <w:rsid w:val="00700AE5"/>
    <w:rsid w:val="00704DC7"/>
    <w:rsid w:val="007118EA"/>
    <w:rsid w:val="00712545"/>
    <w:rsid w:val="00712E95"/>
    <w:rsid w:val="007150F3"/>
    <w:rsid w:val="007175DE"/>
    <w:rsid w:val="00726A9C"/>
    <w:rsid w:val="00732A53"/>
    <w:rsid w:val="007359BF"/>
    <w:rsid w:val="00737375"/>
    <w:rsid w:val="00743F26"/>
    <w:rsid w:val="00751942"/>
    <w:rsid w:val="00751A1E"/>
    <w:rsid w:val="007540E0"/>
    <w:rsid w:val="007544A8"/>
    <w:rsid w:val="0075652D"/>
    <w:rsid w:val="00761654"/>
    <w:rsid w:val="00762B0A"/>
    <w:rsid w:val="0076668B"/>
    <w:rsid w:val="00767E8F"/>
    <w:rsid w:val="007749D9"/>
    <w:rsid w:val="00780F57"/>
    <w:rsid w:val="007839B2"/>
    <w:rsid w:val="00783E1A"/>
    <w:rsid w:val="0079022D"/>
    <w:rsid w:val="007914E0"/>
    <w:rsid w:val="0079284D"/>
    <w:rsid w:val="007A32AF"/>
    <w:rsid w:val="007A78C0"/>
    <w:rsid w:val="007B1BA1"/>
    <w:rsid w:val="007C3B62"/>
    <w:rsid w:val="007C3CB7"/>
    <w:rsid w:val="007C44DF"/>
    <w:rsid w:val="007C4690"/>
    <w:rsid w:val="007C51AA"/>
    <w:rsid w:val="007C5A36"/>
    <w:rsid w:val="007D0557"/>
    <w:rsid w:val="007D0831"/>
    <w:rsid w:val="007D25DF"/>
    <w:rsid w:val="007D4060"/>
    <w:rsid w:val="007E56A2"/>
    <w:rsid w:val="007E7A1C"/>
    <w:rsid w:val="007F18AA"/>
    <w:rsid w:val="007F439B"/>
    <w:rsid w:val="007F5C89"/>
    <w:rsid w:val="0080027D"/>
    <w:rsid w:val="00800B54"/>
    <w:rsid w:val="00803AC4"/>
    <w:rsid w:val="00807B52"/>
    <w:rsid w:val="00811367"/>
    <w:rsid w:val="008125F7"/>
    <w:rsid w:val="00813FF0"/>
    <w:rsid w:val="00814CE4"/>
    <w:rsid w:val="008176A7"/>
    <w:rsid w:val="008205C8"/>
    <w:rsid w:val="008223D4"/>
    <w:rsid w:val="008270A1"/>
    <w:rsid w:val="008321A4"/>
    <w:rsid w:val="00834383"/>
    <w:rsid w:val="0084121D"/>
    <w:rsid w:val="00852DC3"/>
    <w:rsid w:val="008600E0"/>
    <w:rsid w:val="008631A7"/>
    <w:rsid w:val="00866056"/>
    <w:rsid w:val="00876CBB"/>
    <w:rsid w:val="008779EA"/>
    <w:rsid w:val="00880EA8"/>
    <w:rsid w:val="00886053"/>
    <w:rsid w:val="0088688A"/>
    <w:rsid w:val="00887A34"/>
    <w:rsid w:val="00891265"/>
    <w:rsid w:val="00893761"/>
    <w:rsid w:val="00896E97"/>
    <w:rsid w:val="00897498"/>
    <w:rsid w:val="00897F0B"/>
    <w:rsid w:val="008A25B9"/>
    <w:rsid w:val="008A3396"/>
    <w:rsid w:val="008A4EBA"/>
    <w:rsid w:val="008A53E5"/>
    <w:rsid w:val="008A6ECF"/>
    <w:rsid w:val="008B0140"/>
    <w:rsid w:val="008C0D4C"/>
    <w:rsid w:val="008C2559"/>
    <w:rsid w:val="008C2974"/>
    <w:rsid w:val="008C7835"/>
    <w:rsid w:val="008D3E86"/>
    <w:rsid w:val="008E01C3"/>
    <w:rsid w:val="008E1C5A"/>
    <w:rsid w:val="008E3D62"/>
    <w:rsid w:val="008E4142"/>
    <w:rsid w:val="008F2375"/>
    <w:rsid w:val="008F324E"/>
    <w:rsid w:val="008F616B"/>
    <w:rsid w:val="008F7690"/>
    <w:rsid w:val="00905110"/>
    <w:rsid w:val="00910B58"/>
    <w:rsid w:val="00911717"/>
    <w:rsid w:val="009163A5"/>
    <w:rsid w:val="00917C44"/>
    <w:rsid w:val="009203A2"/>
    <w:rsid w:val="00933C7B"/>
    <w:rsid w:val="0093680D"/>
    <w:rsid w:val="00945542"/>
    <w:rsid w:val="009508F2"/>
    <w:rsid w:val="00950F95"/>
    <w:rsid w:val="00951562"/>
    <w:rsid w:val="00951BE6"/>
    <w:rsid w:val="00953363"/>
    <w:rsid w:val="00953F07"/>
    <w:rsid w:val="009548CB"/>
    <w:rsid w:val="0096007E"/>
    <w:rsid w:val="00960B82"/>
    <w:rsid w:val="00961C4F"/>
    <w:rsid w:val="00965E2A"/>
    <w:rsid w:val="009679C8"/>
    <w:rsid w:val="00972601"/>
    <w:rsid w:val="00976E83"/>
    <w:rsid w:val="0097786E"/>
    <w:rsid w:val="00977E9D"/>
    <w:rsid w:val="00986C1B"/>
    <w:rsid w:val="00987BC9"/>
    <w:rsid w:val="0099170A"/>
    <w:rsid w:val="009932FB"/>
    <w:rsid w:val="0099376E"/>
    <w:rsid w:val="009A18A7"/>
    <w:rsid w:val="009A1B65"/>
    <w:rsid w:val="009A432F"/>
    <w:rsid w:val="009C45D6"/>
    <w:rsid w:val="009C6567"/>
    <w:rsid w:val="009C72B2"/>
    <w:rsid w:val="009E1AB2"/>
    <w:rsid w:val="009E24E9"/>
    <w:rsid w:val="009F2415"/>
    <w:rsid w:val="009F480A"/>
    <w:rsid w:val="00A02200"/>
    <w:rsid w:val="00A02793"/>
    <w:rsid w:val="00A04163"/>
    <w:rsid w:val="00A06A31"/>
    <w:rsid w:val="00A15D3C"/>
    <w:rsid w:val="00A1736D"/>
    <w:rsid w:val="00A23A3E"/>
    <w:rsid w:val="00A310E0"/>
    <w:rsid w:val="00A337C8"/>
    <w:rsid w:val="00A359DB"/>
    <w:rsid w:val="00A45496"/>
    <w:rsid w:val="00A45FE5"/>
    <w:rsid w:val="00A51243"/>
    <w:rsid w:val="00A51431"/>
    <w:rsid w:val="00A525F0"/>
    <w:rsid w:val="00A55CB3"/>
    <w:rsid w:val="00A566A2"/>
    <w:rsid w:val="00A5731A"/>
    <w:rsid w:val="00A60DDB"/>
    <w:rsid w:val="00A61462"/>
    <w:rsid w:val="00A6150B"/>
    <w:rsid w:val="00A677C3"/>
    <w:rsid w:val="00A72B9B"/>
    <w:rsid w:val="00A7553A"/>
    <w:rsid w:val="00A84063"/>
    <w:rsid w:val="00A84F7F"/>
    <w:rsid w:val="00A85716"/>
    <w:rsid w:val="00A952EA"/>
    <w:rsid w:val="00A96A79"/>
    <w:rsid w:val="00A97C66"/>
    <w:rsid w:val="00AA4ED9"/>
    <w:rsid w:val="00AB5748"/>
    <w:rsid w:val="00AB5B28"/>
    <w:rsid w:val="00AB7F03"/>
    <w:rsid w:val="00AD00CE"/>
    <w:rsid w:val="00AD1B6E"/>
    <w:rsid w:val="00AD2B89"/>
    <w:rsid w:val="00AD5C9B"/>
    <w:rsid w:val="00AE07DE"/>
    <w:rsid w:val="00AE29F6"/>
    <w:rsid w:val="00AF70A9"/>
    <w:rsid w:val="00B03AF4"/>
    <w:rsid w:val="00B03DD6"/>
    <w:rsid w:val="00B1117F"/>
    <w:rsid w:val="00B111EF"/>
    <w:rsid w:val="00B1562B"/>
    <w:rsid w:val="00B1593D"/>
    <w:rsid w:val="00B209F6"/>
    <w:rsid w:val="00B20E37"/>
    <w:rsid w:val="00B31AAE"/>
    <w:rsid w:val="00B35E0C"/>
    <w:rsid w:val="00B432CA"/>
    <w:rsid w:val="00B447E6"/>
    <w:rsid w:val="00B46449"/>
    <w:rsid w:val="00B57527"/>
    <w:rsid w:val="00B62882"/>
    <w:rsid w:val="00B65F8F"/>
    <w:rsid w:val="00B70C7B"/>
    <w:rsid w:val="00B711CB"/>
    <w:rsid w:val="00B716A6"/>
    <w:rsid w:val="00B75BBC"/>
    <w:rsid w:val="00B76831"/>
    <w:rsid w:val="00B76B61"/>
    <w:rsid w:val="00B77F67"/>
    <w:rsid w:val="00B80E15"/>
    <w:rsid w:val="00B81176"/>
    <w:rsid w:val="00B83E8B"/>
    <w:rsid w:val="00B913C7"/>
    <w:rsid w:val="00B936E9"/>
    <w:rsid w:val="00B95452"/>
    <w:rsid w:val="00B96B34"/>
    <w:rsid w:val="00BA517C"/>
    <w:rsid w:val="00BA5C4D"/>
    <w:rsid w:val="00BB333E"/>
    <w:rsid w:val="00BB416B"/>
    <w:rsid w:val="00BB4C02"/>
    <w:rsid w:val="00BC0A3B"/>
    <w:rsid w:val="00BC3150"/>
    <w:rsid w:val="00BC450A"/>
    <w:rsid w:val="00BC4BEA"/>
    <w:rsid w:val="00BC5A3F"/>
    <w:rsid w:val="00BD05BC"/>
    <w:rsid w:val="00BD31C6"/>
    <w:rsid w:val="00BE533B"/>
    <w:rsid w:val="00BE64EB"/>
    <w:rsid w:val="00C061CF"/>
    <w:rsid w:val="00C06302"/>
    <w:rsid w:val="00C223DB"/>
    <w:rsid w:val="00C22A1F"/>
    <w:rsid w:val="00C235B2"/>
    <w:rsid w:val="00C25C7E"/>
    <w:rsid w:val="00C26CCD"/>
    <w:rsid w:val="00C312EA"/>
    <w:rsid w:val="00C32942"/>
    <w:rsid w:val="00C3410D"/>
    <w:rsid w:val="00C375AF"/>
    <w:rsid w:val="00C401F8"/>
    <w:rsid w:val="00C41105"/>
    <w:rsid w:val="00C44C35"/>
    <w:rsid w:val="00C45C13"/>
    <w:rsid w:val="00C472D6"/>
    <w:rsid w:val="00C526D5"/>
    <w:rsid w:val="00C55BE6"/>
    <w:rsid w:val="00C56D83"/>
    <w:rsid w:val="00C60822"/>
    <w:rsid w:val="00C60A55"/>
    <w:rsid w:val="00C61072"/>
    <w:rsid w:val="00C65A57"/>
    <w:rsid w:val="00C77F83"/>
    <w:rsid w:val="00C87C5C"/>
    <w:rsid w:val="00C905A7"/>
    <w:rsid w:val="00CB034C"/>
    <w:rsid w:val="00CB4FDB"/>
    <w:rsid w:val="00CB51AD"/>
    <w:rsid w:val="00CC0640"/>
    <w:rsid w:val="00CC2F3E"/>
    <w:rsid w:val="00CC392D"/>
    <w:rsid w:val="00CC7673"/>
    <w:rsid w:val="00CE0468"/>
    <w:rsid w:val="00CF097E"/>
    <w:rsid w:val="00D01E04"/>
    <w:rsid w:val="00D05765"/>
    <w:rsid w:val="00D1433D"/>
    <w:rsid w:val="00D17D13"/>
    <w:rsid w:val="00D20E78"/>
    <w:rsid w:val="00D20F25"/>
    <w:rsid w:val="00D2724B"/>
    <w:rsid w:val="00D332C0"/>
    <w:rsid w:val="00D3397E"/>
    <w:rsid w:val="00D3403D"/>
    <w:rsid w:val="00D34050"/>
    <w:rsid w:val="00D356CF"/>
    <w:rsid w:val="00D363B6"/>
    <w:rsid w:val="00D37422"/>
    <w:rsid w:val="00D42FF3"/>
    <w:rsid w:val="00D46E69"/>
    <w:rsid w:val="00D537FD"/>
    <w:rsid w:val="00D57E95"/>
    <w:rsid w:val="00D61422"/>
    <w:rsid w:val="00D65933"/>
    <w:rsid w:val="00D709E4"/>
    <w:rsid w:val="00D74F80"/>
    <w:rsid w:val="00D761DC"/>
    <w:rsid w:val="00D8330A"/>
    <w:rsid w:val="00D90B3F"/>
    <w:rsid w:val="00D9671E"/>
    <w:rsid w:val="00DB2463"/>
    <w:rsid w:val="00DC769E"/>
    <w:rsid w:val="00DC76EF"/>
    <w:rsid w:val="00DD0F3E"/>
    <w:rsid w:val="00DD2A0D"/>
    <w:rsid w:val="00DD5296"/>
    <w:rsid w:val="00DE122E"/>
    <w:rsid w:val="00DE3CBB"/>
    <w:rsid w:val="00DE56AD"/>
    <w:rsid w:val="00DE76CB"/>
    <w:rsid w:val="00DF0D26"/>
    <w:rsid w:val="00DF4200"/>
    <w:rsid w:val="00DF746E"/>
    <w:rsid w:val="00DF7D10"/>
    <w:rsid w:val="00E01FF6"/>
    <w:rsid w:val="00E05277"/>
    <w:rsid w:val="00E0626A"/>
    <w:rsid w:val="00E103FB"/>
    <w:rsid w:val="00E130CF"/>
    <w:rsid w:val="00E150D2"/>
    <w:rsid w:val="00E1520C"/>
    <w:rsid w:val="00E202D4"/>
    <w:rsid w:val="00E35140"/>
    <w:rsid w:val="00E359AC"/>
    <w:rsid w:val="00E376D0"/>
    <w:rsid w:val="00E37A36"/>
    <w:rsid w:val="00E42AEE"/>
    <w:rsid w:val="00E43A5D"/>
    <w:rsid w:val="00E533D0"/>
    <w:rsid w:val="00E55071"/>
    <w:rsid w:val="00E57DDD"/>
    <w:rsid w:val="00E60EE1"/>
    <w:rsid w:val="00E72F99"/>
    <w:rsid w:val="00E74D85"/>
    <w:rsid w:val="00E77DF6"/>
    <w:rsid w:val="00E8352B"/>
    <w:rsid w:val="00E938DE"/>
    <w:rsid w:val="00E950AD"/>
    <w:rsid w:val="00EA468F"/>
    <w:rsid w:val="00EA6A49"/>
    <w:rsid w:val="00EA792E"/>
    <w:rsid w:val="00EB04E2"/>
    <w:rsid w:val="00EC21DD"/>
    <w:rsid w:val="00EC347E"/>
    <w:rsid w:val="00EC4BF6"/>
    <w:rsid w:val="00EC6B14"/>
    <w:rsid w:val="00EC71A2"/>
    <w:rsid w:val="00ED0A98"/>
    <w:rsid w:val="00ED1050"/>
    <w:rsid w:val="00ED166D"/>
    <w:rsid w:val="00ED3A3C"/>
    <w:rsid w:val="00EE2E7B"/>
    <w:rsid w:val="00EE65D7"/>
    <w:rsid w:val="00EE7CEF"/>
    <w:rsid w:val="00EE7DD6"/>
    <w:rsid w:val="00EF5BB4"/>
    <w:rsid w:val="00F01FD1"/>
    <w:rsid w:val="00F03C60"/>
    <w:rsid w:val="00F04D43"/>
    <w:rsid w:val="00F05CB1"/>
    <w:rsid w:val="00F06A25"/>
    <w:rsid w:val="00F12BAB"/>
    <w:rsid w:val="00F1421B"/>
    <w:rsid w:val="00F17B2E"/>
    <w:rsid w:val="00F201B8"/>
    <w:rsid w:val="00F267D9"/>
    <w:rsid w:val="00F27B12"/>
    <w:rsid w:val="00F33FD4"/>
    <w:rsid w:val="00F35296"/>
    <w:rsid w:val="00F36709"/>
    <w:rsid w:val="00F4189C"/>
    <w:rsid w:val="00F41C86"/>
    <w:rsid w:val="00F47FDD"/>
    <w:rsid w:val="00F51C17"/>
    <w:rsid w:val="00F5571A"/>
    <w:rsid w:val="00F6058B"/>
    <w:rsid w:val="00F6442E"/>
    <w:rsid w:val="00F65949"/>
    <w:rsid w:val="00F67332"/>
    <w:rsid w:val="00F673A7"/>
    <w:rsid w:val="00F70594"/>
    <w:rsid w:val="00F754AB"/>
    <w:rsid w:val="00F76106"/>
    <w:rsid w:val="00F8147B"/>
    <w:rsid w:val="00F87EA6"/>
    <w:rsid w:val="00F903C3"/>
    <w:rsid w:val="00F90B91"/>
    <w:rsid w:val="00F938A0"/>
    <w:rsid w:val="00FB0A2F"/>
    <w:rsid w:val="00FB0ABC"/>
    <w:rsid w:val="00FB5217"/>
    <w:rsid w:val="00FB5B3F"/>
    <w:rsid w:val="00FC2064"/>
    <w:rsid w:val="00FC2209"/>
    <w:rsid w:val="00FC224A"/>
    <w:rsid w:val="00FC2A11"/>
    <w:rsid w:val="00FC4E03"/>
    <w:rsid w:val="00FD137D"/>
    <w:rsid w:val="00FD2E66"/>
    <w:rsid w:val="00FD4700"/>
    <w:rsid w:val="00FD595E"/>
    <w:rsid w:val="00FE03B0"/>
    <w:rsid w:val="00FE12F0"/>
    <w:rsid w:val="00FE4A54"/>
    <w:rsid w:val="00FE58EB"/>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semiHidden/>
    <w:unhideWhenUsed/>
    <w:qFormat/>
    <w:rsid w:val="00E57D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Heading2Char">
    <w:name w:val="Heading 2 Char"/>
    <w:basedOn w:val="DefaultParagraphFont"/>
    <w:link w:val="Heading2"/>
    <w:semiHidden/>
    <w:rsid w:val="00E57DDD"/>
    <w:rPr>
      <w:rFonts w:asciiTheme="majorHAnsi" w:eastAsiaTheme="majorEastAsia" w:hAnsiTheme="majorHAnsi" w:cstheme="majorBidi"/>
      <w:color w:val="365F91" w:themeColor="accent1" w:themeShade="BF"/>
      <w:sz w:val="26"/>
      <w:szCs w:val="26"/>
      <w:lang w:val="en-US" w:eastAsia="en-US"/>
    </w:rPr>
  </w:style>
  <w:style w:type="paragraph" w:styleId="Caption">
    <w:name w:val="caption"/>
    <w:basedOn w:val="Normal"/>
    <w:next w:val="Normal"/>
    <w:semiHidden/>
    <w:unhideWhenUsed/>
    <w:qFormat/>
    <w:rsid w:val="006C1C02"/>
    <w:pPr>
      <w:spacing w:after="200"/>
    </w:pPr>
    <w:rPr>
      <w:i/>
      <w:iCs/>
      <w:color w:val="1F497D" w:themeColor="text2"/>
      <w:sz w:val="18"/>
      <w:szCs w:val="18"/>
    </w:rPr>
  </w:style>
  <w:style w:type="character" w:customStyle="1" w:styleId="markedcontent">
    <w:name w:val="markedcontent"/>
    <w:basedOn w:val="DefaultParagraphFont"/>
    <w:rsid w:val="00761654"/>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6268169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60096118">
      <w:bodyDiv w:val="1"/>
      <w:marLeft w:val="0"/>
      <w:marRight w:val="0"/>
      <w:marTop w:val="0"/>
      <w:marBottom w:val="0"/>
      <w:divBdr>
        <w:top w:val="none" w:sz="0" w:space="0" w:color="auto"/>
        <w:left w:val="none" w:sz="0" w:space="0" w:color="auto"/>
        <w:bottom w:val="none" w:sz="0" w:space="0" w:color="auto"/>
        <w:right w:val="none" w:sz="0" w:space="0" w:color="auto"/>
      </w:divBdr>
    </w:div>
    <w:div w:id="631904479">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66525109">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11706610">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06278225">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450705248">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51009634">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28678495">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229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vestor.treasury.gov.za/pages/default.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8FFC00AA84044D9133115AB46DEBFA" ma:contentTypeVersion="13" ma:contentTypeDescription="Create a new document." ma:contentTypeScope="" ma:versionID="5a5804f27b5684323438fd5d14e049fc">
  <xsd:schema xmlns:xsd="http://www.w3.org/2001/XMLSchema" xmlns:xs="http://www.w3.org/2001/XMLSchema" xmlns:p="http://schemas.microsoft.com/office/2006/metadata/properties" xmlns:ns3="f083da49-451a-4629-8875-846b923e2ce9" xmlns:ns4="45987a19-0b2c-4d42-ad64-d9749832b1e7" targetNamespace="http://schemas.microsoft.com/office/2006/metadata/properties" ma:root="true" ma:fieldsID="014f21be81d09d2c467d0d26abfd1035" ns3:_="" ns4:_="">
    <xsd:import namespace="f083da49-451a-4629-8875-846b923e2ce9"/>
    <xsd:import namespace="45987a19-0b2c-4d42-ad64-d9749832b1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da49-451a-4629-8875-846b923e2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987a19-0b2c-4d42-ad64-d9749832b1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4CB5A-9C84-4318-AD56-5C65204D2FB6}">
  <ds:schemaRefs>
    <ds:schemaRef ds:uri="http://schemas.microsoft.com/sharepoint/v3/contenttype/forms"/>
  </ds:schemaRefs>
</ds:datastoreItem>
</file>

<file path=customXml/itemProps2.xml><?xml version="1.0" encoding="utf-8"?>
<ds:datastoreItem xmlns:ds="http://schemas.openxmlformats.org/officeDocument/2006/customXml" ds:itemID="{13D1DAE2-AECA-49A8-868C-20BABB318B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D5C194-0AD8-4A00-8261-85AF24094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da49-451a-4629-8875-846b923e2ce9"/>
    <ds:schemaRef ds:uri="45987a19-0b2c-4d42-ad64-d9749832b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8FDE3E-5091-4DC4-A745-5BB7A6A2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2022-05-03T04:20:00Z</cp:lastPrinted>
  <dcterms:created xsi:type="dcterms:W3CDTF">2022-05-18T07:20:00Z</dcterms:created>
  <dcterms:modified xsi:type="dcterms:W3CDTF">2022-05-18T07:20:00Z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y fmtid="{D5CDD505-2E9C-101B-9397-08002B2CF9AE}" pid="10" name="ContentTypeId">
    <vt:lpwstr>0x010100C08FFC00AA84044D9133115AB46DEBFA</vt:lpwstr>
  </property>
</Properties>
</file>