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E" w:rsidRDefault="00A170BE" w:rsidP="00A170BE">
      <w:pPr>
        <w:rPr>
          <w:rFonts w:ascii="Arial" w:hAnsi="Arial" w:cs="Arial"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0BE" w:rsidRDefault="00A170BE" w:rsidP="00A170BE">
      <w:pPr>
        <w:autoSpaceDE w:val="0"/>
        <w:autoSpaceDN w:val="0"/>
        <w:adjustRightInd w:val="0"/>
        <w:rPr>
          <w:rFonts w:ascii="Arial" w:hAnsi="Arial" w:cs="Arial"/>
        </w:rPr>
      </w:pPr>
    </w:p>
    <w:p w:rsidR="00A170BE" w:rsidRDefault="00A170BE" w:rsidP="00A170BE">
      <w:pPr>
        <w:rPr>
          <w:rFonts w:ascii="Arial" w:hAnsi="Arial" w:cs="Arial"/>
          <w:b/>
          <w:bCs/>
          <w:color w:val="4F6228"/>
          <w:lang w:eastAsia="en-ZA"/>
        </w:rPr>
      </w:pPr>
    </w:p>
    <w:p w:rsidR="00A170BE" w:rsidRDefault="00A170BE" w:rsidP="00A170BE">
      <w:pPr>
        <w:rPr>
          <w:rFonts w:ascii="Arial" w:hAnsi="Arial" w:cs="Arial"/>
          <w:b/>
          <w:bCs/>
          <w:color w:val="4F6228"/>
          <w:lang w:eastAsia="en-ZA"/>
        </w:rPr>
      </w:pPr>
    </w:p>
    <w:p w:rsidR="00A170BE" w:rsidRDefault="00A170BE" w:rsidP="00A170B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170BE" w:rsidRDefault="00A170BE" w:rsidP="00A170B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170BE" w:rsidRDefault="00A170BE" w:rsidP="00A170B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170BE" w:rsidRDefault="00A170BE" w:rsidP="00A170B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170BE" w:rsidRDefault="00A170BE" w:rsidP="00A170BE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A170BE" w:rsidRDefault="00A170BE" w:rsidP="00A170BE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A170BE" w:rsidRDefault="00A170BE" w:rsidP="00A170BE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A170BE" w:rsidRDefault="00A170BE" w:rsidP="00A170BE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A170BE" w:rsidRDefault="00A170BE" w:rsidP="00A170BE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A170BE" w:rsidRDefault="00A170BE" w:rsidP="00A170BE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70BE" w:rsidRDefault="00A170BE" w:rsidP="00A170BE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4E07A2" w:rsidRPr="008F405F" w:rsidRDefault="004E07A2" w:rsidP="00A170BE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NATIONAL ASSEMBLY</w:t>
      </w:r>
    </w:p>
    <w:p w:rsidR="004E07A2" w:rsidRPr="008F405F" w:rsidRDefault="004E07A2" w:rsidP="00A170BE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QUESTION FOR WRITTEN REPLY</w:t>
      </w:r>
    </w:p>
    <w:p w:rsidR="004E07A2" w:rsidRPr="008F405F" w:rsidRDefault="004E07A2" w:rsidP="00A170BE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 xml:space="preserve">QUESTION NUMBER: </w:t>
      </w:r>
      <w:r w:rsidR="00992770" w:rsidRPr="00992770">
        <w:rPr>
          <w:rFonts w:ascii="Arial" w:hAnsi="Arial" w:cs="Arial"/>
          <w:b/>
          <w:sz w:val="24"/>
          <w:szCs w:val="24"/>
        </w:rPr>
        <w:t>PQ 1341 (NW1601E)</w:t>
      </w:r>
    </w:p>
    <w:p w:rsidR="004E07A2" w:rsidRPr="008F405F" w:rsidRDefault="004E07A2" w:rsidP="00A170BE">
      <w:pPr>
        <w:tabs>
          <w:tab w:val="left" w:pos="432"/>
          <w:tab w:val="left" w:pos="864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DATE OF PUBLICATION: 22 APRIL 2022</w:t>
      </w:r>
    </w:p>
    <w:p w:rsidR="004E07A2" w:rsidRPr="008F405F" w:rsidRDefault="004E07A2" w:rsidP="004E07A2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E07A2" w:rsidRDefault="004E07A2" w:rsidP="00A170BE">
      <w:pPr>
        <w:spacing w:after="0" w:line="360" w:lineRule="auto"/>
        <w:ind w:firstLine="426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8F405F">
        <w:rPr>
          <w:rFonts w:ascii="Arial" w:hAnsi="Arial" w:cs="Arial"/>
          <w:b/>
          <w:color w:val="000000"/>
          <w:sz w:val="24"/>
          <w:szCs w:val="24"/>
        </w:rPr>
        <w:t xml:space="preserve">Mr </w:t>
      </w:r>
      <w:r w:rsidR="00992770">
        <w:rPr>
          <w:rFonts w:ascii="Arial" w:hAnsi="Arial" w:cs="Arial"/>
          <w:b/>
          <w:color w:val="000000"/>
          <w:sz w:val="24"/>
          <w:szCs w:val="24"/>
        </w:rPr>
        <w:t>B Herron</w:t>
      </w:r>
      <w:r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(</w:t>
      </w:r>
      <w:r w:rsidR="0099277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Good</w:t>
      </w:r>
      <w:r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 to ask the Minister of Human Settlements</w:t>
      </w:r>
      <w:r w:rsidR="00EC239E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Pr="008F405F">
        <w:rPr>
          <w:rFonts w:ascii="Arial" w:hAnsi="Arial" w:cs="Arial"/>
          <w:color w:val="000000"/>
          <w:sz w:val="24"/>
          <w:szCs w:val="24"/>
        </w:rPr>
        <w:instrText xml:space="preserve"> XE "</w:instrText>
      </w:r>
      <w:r w:rsidRPr="008F405F">
        <w:rPr>
          <w:rFonts w:ascii="Arial" w:hAnsi="Arial" w:cs="Arial"/>
          <w:b/>
          <w:color w:val="000000"/>
          <w:sz w:val="24"/>
          <w:szCs w:val="24"/>
        </w:rPr>
        <w:instrText>Human Settlements, Water and Sanitation</w:instrText>
      </w:r>
      <w:r w:rsidRPr="008F405F">
        <w:rPr>
          <w:rFonts w:ascii="Arial" w:hAnsi="Arial" w:cs="Arial"/>
          <w:color w:val="000000"/>
          <w:sz w:val="24"/>
          <w:szCs w:val="24"/>
        </w:rPr>
        <w:instrText xml:space="preserve">" </w:instrText>
      </w:r>
      <w:r w:rsidR="00EC239E"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r w:rsidRPr="008F405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</w:p>
    <w:p w:rsidR="00762DBC" w:rsidRDefault="00762DBC" w:rsidP="00AB256A">
      <w:pPr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916959" w:rsidRPr="00916959" w:rsidRDefault="00992770" w:rsidP="00AB25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With regard to the apartheid era migrant </w:t>
      </w:r>
      <w:proofErr w:type="spellStart"/>
      <w:r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>labour</w:t>
      </w:r>
      <w:proofErr w:type="spellEnd"/>
      <w:r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hostels, what total number of (a) persons</w:t>
      </w:r>
      <w:r w:rsidR="00916959"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currently reside in (</w:t>
      </w:r>
      <w:proofErr w:type="spellStart"/>
      <w:r w:rsidR="00916959"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proofErr w:type="spellEnd"/>
      <w:r w:rsidR="00916959"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>) public, (ii) private and/or (iii) grey hostels and (b) hostel complexes (</w:t>
      </w:r>
      <w:proofErr w:type="spellStart"/>
      <w:r w:rsidR="00916959"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proofErr w:type="spellEnd"/>
      <w:r w:rsidR="00916959"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) remain </w:t>
      </w:r>
      <w:proofErr w:type="spellStart"/>
      <w:r w:rsidR="00916959"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>unrefurbished</w:t>
      </w:r>
      <w:proofErr w:type="spellEnd"/>
      <w:r w:rsidR="009169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and/or (ii</w:t>
      </w:r>
      <w:r w:rsidR="00916959"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>)</w:t>
      </w:r>
      <w:r w:rsidR="009169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are transformed into family units in each metropolitan area;</w:t>
      </w:r>
    </w:p>
    <w:p w:rsidR="00916959" w:rsidRPr="00916959" w:rsidRDefault="00916959" w:rsidP="00AB256A">
      <w:pPr>
        <w:pStyle w:val="ListParagraph"/>
        <w:spacing w:after="0" w:line="360" w:lineRule="auto"/>
        <w:ind w:left="426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992770" w:rsidRPr="00AB256A" w:rsidRDefault="00916959" w:rsidP="00AB256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Whether any</w:t>
      </w:r>
      <w:r w:rsidRPr="009169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other hostels, not included in the above three categories, remain unrefurbished and/or untransformed; if not; what is t</w:t>
      </w:r>
      <w:r w:rsidR="00CE2A2C">
        <w:rPr>
          <w:rFonts w:ascii="Arial" w:hAnsi="Arial" w:cs="Arial"/>
          <w:bCs/>
          <w:color w:val="000000"/>
          <w:sz w:val="24"/>
          <w:szCs w:val="24"/>
          <w:lang w:val="en-US"/>
        </w:rPr>
        <w:t>he position in this regard; if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, (a) how does her department intend to transform each of the specified hostels into family units and (b) by what date does she envisage each planned transformation will be completed?</w:t>
      </w:r>
    </w:p>
    <w:p w:rsidR="00AB256A" w:rsidRPr="00AB256A" w:rsidRDefault="00AB256A" w:rsidP="00AB256A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B256A" w:rsidRPr="00916959" w:rsidRDefault="00AB256A" w:rsidP="00AB256A">
      <w:pPr>
        <w:pStyle w:val="ListParagraph"/>
        <w:spacing w:after="0" w:line="360" w:lineRule="auto"/>
        <w:ind w:left="426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E07A2" w:rsidRPr="008F405F" w:rsidRDefault="004E07A2" w:rsidP="00AB256A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F405F">
        <w:rPr>
          <w:rFonts w:ascii="Arial" w:hAnsi="Arial" w:cs="Arial"/>
          <w:b/>
          <w:sz w:val="24"/>
          <w:szCs w:val="24"/>
        </w:rPr>
        <w:t>REPLY</w:t>
      </w:r>
    </w:p>
    <w:p w:rsidR="00992770" w:rsidRDefault="00650347" w:rsidP="00AB256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(a)</w:t>
      </w:r>
      <w:r w:rsidR="00744A6C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744A6C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744A6C">
        <w:rPr>
          <w:rFonts w:ascii="Arial" w:hAnsi="Arial" w:cs="Arial"/>
          <w:sz w:val="24"/>
          <w:szCs w:val="24"/>
        </w:rPr>
        <w:t>) (ii) (iii) The hostel environment together with the</w:t>
      </w:r>
      <w:r w:rsidR="008803AB">
        <w:rPr>
          <w:rFonts w:ascii="Arial" w:hAnsi="Arial" w:cs="Arial"/>
          <w:sz w:val="24"/>
          <w:szCs w:val="24"/>
        </w:rPr>
        <w:t xml:space="preserve"> nomadic nature of occupants have</w:t>
      </w:r>
      <w:r w:rsidR="00744A6C">
        <w:rPr>
          <w:rFonts w:ascii="Arial" w:hAnsi="Arial" w:cs="Arial"/>
          <w:sz w:val="24"/>
          <w:szCs w:val="24"/>
        </w:rPr>
        <w:t xml:space="preserve"> proven to be a difficult task for municipalities as managing agents to keep track of the number </w:t>
      </w:r>
      <w:r w:rsidR="00AC38D2">
        <w:rPr>
          <w:rFonts w:ascii="Arial" w:hAnsi="Arial" w:cs="Arial"/>
          <w:sz w:val="24"/>
          <w:szCs w:val="24"/>
        </w:rPr>
        <w:t xml:space="preserve">of persons occupying units. Illegal invasions together with sub-letting has exacerbated this problem to such an extent that most legal lease holders cannot be found. Provincial departments together with their respective municipalities </w:t>
      </w:r>
      <w:r w:rsidR="00F62EB5">
        <w:rPr>
          <w:rFonts w:ascii="Arial" w:hAnsi="Arial" w:cs="Arial"/>
          <w:sz w:val="24"/>
          <w:szCs w:val="24"/>
        </w:rPr>
        <w:t xml:space="preserve">are </w:t>
      </w:r>
      <w:r w:rsidR="008803AB">
        <w:rPr>
          <w:rFonts w:ascii="Arial" w:hAnsi="Arial" w:cs="Arial"/>
          <w:sz w:val="24"/>
          <w:szCs w:val="24"/>
        </w:rPr>
        <w:t>only responsible for government-</w:t>
      </w:r>
      <w:r w:rsidR="00F62EB5">
        <w:rPr>
          <w:rFonts w:ascii="Arial" w:hAnsi="Arial" w:cs="Arial"/>
          <w:sz w:val="24"/>
          <w:szCs w:val="24"/>
        </w:rPr>
        <w:t xml:space="preserve">owned rental accommodation and as such are not responsible for private rental accommodation </w:t>
      </w:r>
      <w:r w:rsidR="00CE2A2C">
        <w:rPr>
          <w:rFonts w:ascii="Arial" w:hAnsi="Arial" w:cs="Arial"/>
          <w:sz w:val="24"/>
          <w:szCs w:val="24"/>
        </w:rPr>
        <w:t>or</w:t>
      </w:r>
      <w:r w:rsidR="00F62EB5">
        <w:rPr>
          <w:rFonts w:ascii="Arial" w:hAnsi="Arial" w:cs="Arial"/>
          <w:sz w:val="24"/>
          <w:szCs w:val="24"/>
        </w:rPr>
        <w:t xml:space="preserve"> grey hostels (which include a component of private ownership)</w:t>
      </w:r>
      <w:r>
        <w:rPr>
          <w:rFonts w:ascii="Arial" w:hAnsi="Arial" w:cs="Arial"/>
          <w:sz w:val="24"/>
          <w:szCs w:val="24"/>
        </w:rPr>
        <w:t>.</w:t>
      </w:r>
      <w:r w:rsidR="00F62EB5">
        <w:rPr>
          <w:rFonts w:ascii="Arial" w:hAnsi="Arial" w:cs="Arial"/>
          <w:sz w:val="24"/>
          <w:szCs w:val="24"/>
        </w:rPr>
        <w:t xml:space="preserve"> </w:t>
      </w:r>
    </w:p>
    <w:p w:rsidR="00650347" w:rsidRDefault="00650347" w:rsidP="00AB256A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50347" w:rsidRDefault="00650347" w:rsidP="00AB256A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CE2A2C">
        <w:rPr>
          <w:rFonts w:ascii="Arial" w:hAnsi="Arial" w:cs="Arial"/>
          <w:sz w:val="24"/>
          <w:szCs w:val="24"/>
        </w:rPr>
        <w:t>(</w:t>
      </w:r>
      <w:proofErr w:type="spellStart"/>
      <w:r w:rsidR="00CE2A2C">
        <w:rPr>
          <w:rFonts w:ascii="Arial" w:hAnsi="Arial" w:cs="Arial"/>
          <w:sz w:val="24"/>
          <w:szCs w:val="24"/>
        </w:rPr>
        <w:t>i</w:t>
      </w:r>
      <w:proofErr w:type="spellEnd"/>
      <w:r w:rsidR="00CE2A2C">
        <w:rPr>
          <w:rFonts w:ascii="Arial" w:hAnsi="Arial" w:cs="Arial"/>
          <w:sz w:val="24"/>
          <w:szCs w:val="24"/>
        </w:rPr>
        <w:t>) (</w:t>
      </w:r>
      <w:proofErr w:type="gramStart"/>
      <w:r w:rsidR="00CE2A2C">
        <w:rPr>
          <w:rFonts w:ascii="Arial" w:hAnsi="Arial" w:cs="Arial"/>
          <w:sz w:val="24"/>
          <w:szCs w:val="24"/>
        </w:rPr>
        <w:t>ii</w:t>
      </w:r>
      <w:proofErr w:type="gramEnd"/>
      <w:r w:rsidR="00CE2A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The following table illustrates the hostels that have been transformed into family units as well as those which have not been refurbished in each metropolitan area:</w:t>
      </w:r>
    </w:p>
    <w:tbl>
      <w:tblPr>
        <w:tblStyle w:val="TableGrid"/>
        <w:tblW w:w="8646" w:type="dxa"/>
        <w:tblInd w:w="421" w:type="dxa"/>
        <w:tblLayout w:type="fixed"/>
        <w:tblLook w:val="04A0"/>
      </w:tblPr>
      <w:tblGrid>
        <w:gridCol w:w="1417"/>
        <w:gridCol w:w="2977"/>
        <w:gridCol w:w="1984"/>
        <w:gridCol w:w="2268"/>
      </w:tblGrid>
      <w:tr w:rsidR="00212767" w:rsidTr="007A0CDC">
        <w:tc>
          <w:tcPr>
            <w:tcW w:w="1417" w:type="dxa"/>
          </w:tcPr>
          <w:p w:rsidR="00212767" w:rsidRPr="00650347" w:rsidRDefault="00212767" w:rsidP="00AB25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347">
              <w:rPr>
                <w:rFonts w:ascii="Arial" w:hAnsi="Arial" w:cs="Arial"/>
                <w:b/>
                <w:sz w:val="24"/>
                <w:szCs w:val="24"/>
              </w:rPr>
              <w:t xml:space="preserve">Province </w:t>
            </w:r>
          </w:p>
        </w:tc>
        <w:tc>
          <w:tcPr>
            <w:tcW w:w="2977" w:type="dxa"/>
          </w:tcPr>
          <w:p w:rsidR="00212767" w:rsidRPr="00650347" w:rsidRDefault="00212767" w:rsidP="00AB25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0347">
              <w:rPr>
                <w:rFonts w:ascii="Arial" w:hAnsi="Arial" w:cs="Arial"/>
                <w:b/>
                <w:sz w:val="24"/>
                <w:szCs w:val="24"/>
              </w:rPr>
              <w:t xml:space="preserve">Metropolitan Area </w:t>
            </w:r>
          </w:p>
        </w:tc>
        <w:tc>
          <w:tcPr>
            <w:tcW w:w="1984" w:type="dxa"/>
          </w:tcPr>
          <w:p w:rsidR="00212767" w:rsidRPr="00650347" w:rsidRDefault="00605EBA" w:rsidP="00AB25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 w:rsidR="00F9491F">
              <w:rPr>
                <w:rFonts w:ascii="Arial" w:hAnsi="Arial" w:cs="Arial"/>
                <w:b/>
                <w:sz w:val="24"/>
                <w:szCs w:val="24"/>
              </w:rPr>
              <w:t xml:space="preserve">of hostels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12767">
              <w:rPr>
                <w:rFonts w:ascii="Arial" w:hAnsi="Arial" w:cs="Arial"/>
                <w:b/>
                <w:sz w:val="24"/>
                <w:szCs w:val="24"/>
              </w:rPr>
              <w:t xml:space="preserve">ot </w:t>
            </w:r>
            <w:r w:rsidR="00212767" w:rsidRPr="00650347">
              <w:rPr>
                <w:rFonts w:ascii="Arial" w:hAnsi="Arial" w:cs="Arial"/>
                <w:b/>
                <w:sz w:val="24"/>
                <w:szCs w:val="24"/>
              </w:rPr>
              <w:t>refurbished</w:t>
            </w:r>
            <w:r w:rsidR="002127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2767" w:rsidRPr="00650347" w:rsidRDefault="00605EBA" w:rsidP="00AB25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 w:rsidR="00F9491F">
              <w:rPr>
                <w:rFonts w:ascii="Arial" w:hAnsi="Arial" w:cs="Arial"/>
                <w:b/>
                <w:sz w:val="24"/>
                <w:szCs w:val="24"/>
              </w:rPr>
              <w:t xml:space="preserve">of hostels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212767" w:rsidRPr="00650347">
              <w:rPr>
                <w:rFonts w:ascii="Arial" w:hAnsi="Arial" w:cs="Arial"/>
                <w:b/>
                <w:sz w:val="24"/>
                <w:szCs w:val="24"/>
              </w:rPr>
              <w:t>ransformed into family units</w:t>
            </w:r>
          </w:p>
        </w:tc>
      </w:tr>
      <w:tr w:rsidR="00212767" w:rsidTr="007A0CDC">
        <w:tc>
          <w:tcPr>
            <w:tcW w:w="141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297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Ekurhuleni Metro</w:t>
            </w:r>
          </w:p>
        </w:tc>
        <w:tc>
          <w:tcPr>
            <w:tcW w:w="1984" w:type="dxa"/>
          </w:tcPr>
          <w:p w:rsidR="00212767" w:rsidRDefault="00212D39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12767" w:rsidRDefault="00212D39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767" w:rsidTr="007A0CDC">
        <w:tc>
          <w:tcPr>
            <w:tcW w:w="141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Johannesburg Metro</w:t>
            </w:r>
          </w:p>
        </w:tc>
        <w:tc>
          <w:tcPr>
            <w:tcW w:w="1984" w:type="dxa"/>
          </w:tcPr>
          <w:p w:rsidR="00212767" w:rsidRDefault="00FB34A2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12767" w:rsidRDefault="00FB34A2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12767" w:rsidTr="007A0CDC">
        <w:tc>
          <w:tcPr>
            <w:tcW w:w="141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Tshwane Metro</w:t>
            </w:r>
          </w:p>
        </w:tc>
        <w:tc>
          <w:tcPr>
            <w:tcW w:w="1984" w:type="dxa"/>
          </w:tcPr>
          <w:p w:rsidR="00212767" w:rsidRDefault="00A25EEB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2767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2767" w:rsidTr="007A0CDC">
        <w:tc>
          <w:tcPr>
            <w:tcW w:w="141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Cape </w:t>
            </w:r>
          </w:p>
        </w:tc>
        <w:tc>
          <w:tcPr>
            <w:tcW w:w="297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Cape Town</w:t>
            </w:r>
          </w:p>
        </w:tc>
        <w:tc>
          <w:tcPr>
            <w:tcW w:w="1984" w:type="dxa"/>
          </w:tcPr>
          <w:p w:rsidR="00212767" w:rsidRDefault="00C04E2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2767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767" w:rsidTr="007A0CDC">
        <w:tc>
          <w:tcPr>
            <w:tcW w:w="141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KZN</w:t>
            </w:r>
          </w:p>
        </w:tc>
        <w:tc>
          <w:tcPr>
            <w:tcW w:w="2977" w:type="dxa"/>
          </w:tcPr>
          <w:p w:rsidR="00212767" w:rsidRDefault="00212767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eThekwini Metro</w:t>
            </w:r>
          </w:p>
        </w:tc>
        <w:tc>
          <w:tcPr>
            <w:tcW w:w="1984" w:type="dxa"/>
          </w:tcPr>
          <w:p w:rsidR="00212767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12767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05EBA" w:rsidTr="007A0CDC">
        <w:tc>
          <w:tcPr>
            <w:tcW w:w="1417" w:type="dxa"/>
          </w:tcPr>
          <w:p w:rsidR="00605EBA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2977" w:type="dxa"/>
          </w:tcPr>
          <w:p w:rsidR="00605EBA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Mangaung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Metro</w:t>
            </w:r>
          </w:p>
        </w:tc>
        <w:tc>
          <w:tcPr>
            <w:tcW w:w="4252" w:type="dxa"/>
            <w:gridSpan w:val="2"/>
          </w:tcPr>
          <w:p w:rsidR="00605EBA" w:rsidRPr="00605EBA" w:rsidRDefault="00605EBA" w:rsidP="00AB25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EBA">
              <w:rPr>
                <w:rFonts w:ascii="Arial" w:hAnsi="Arial" w:cs="Arial"/>
                <w:b/>
                <w:sz w:val="24"/>
                <w:szCs w:val="24"/>
              </w:rPr>
              <w:t>No public hostels</w:t>
            </w:r>
          </w:p>
        </w:tc>
      </w:tr>
      <w:tr w:rsidR="00605EBA" w:rsidTr="007A0CDC">
        <w:tc>
          <w:tcPr>
            <w:tcW w:w="1417" w:type="dxa"/>
          </w:tcPr>
          <w:p w:rsidR="00605EBA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2977" w:type="dxa"/>
          </w:tcPr>
          <w:p w:rsidR="00605EBA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Buffalo City Metro</w:t>
            </w:r>
          </w:p>
        </w:tc>
        <w:tc>
          <w:tcPr>
            <w:tcW w:w="4252" w:type="dxa"/>
            <w:gridSpan w:val="2"/>
          </w:tcPr>
          <w:p w:rsidR="00605EBA" w:rsidRPr="00605EBA" w:rsidRDefault="00605EBA" w:rsidP="00AB25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EBA">
              <w:rPr>
                <w:rFonts w:ascii="Arial" w:hAnsi="Arial" w:cs="Arial"/>
                <w:b/>
                <w:sz w:val="24"/>
                <w:szCs w:val="24"/>
              </w:rPr>
              <w:t>No public hostels</w:t>
            </w:r>
          </w:p>
        </w:tc>
      </w:tr>
      <w:tr w:rsidR="00605EBA" w:rsidTr="007A0CDC">
        <w:tc>
          <w:tcPr>
            <w:tcW w:w="1417" w:type="dxa"/>
          </w:tcPr>
          <w:p w:rsidR="00605EBA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5EBA" w:rsidRDefault="00605EBA" w:rsidP="00AB2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5EBA">
              <w:rPr>
                <w:rFonts w:ascii="Arial" w:hAnsi="Arial" w:cs="Arial"/>
                <w:sz w:val="24"/>
                <w:szCs w:val="24"/>
              </w:rPr>
              <w:t>Nelson Mandela Bay Metro</w:t>
            </w:r>
          </w:p>
        </w:tc>
        <w:tc>
          <w:tcPr>
            <w:tcW w:w="4252" w:type="dxa"/>
            <w:gridSpan w:val="2"/>
          </w:tcPr>
          <w:p w:rsidR="00605EBA" w:rsidRPr="00605EBA" w:rsidRDefault="00605EBA" w:rsidP="00AB25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EBA">
              <w:rPr>
                <w:rFonts w:ascii="Arial" w:hAnsi="Arial" w:cs="Arial"/>
                <w:b/>
                <w:sz w:val="24"/>
                <w:szCs w:val="24"/>
              </w:rPr>
              <w:t>No public hostels</w:t>
            </w:r>
          </w:p>
        </w:tc>
      </w:tr>
    </w:tbl>
    <w:p w:rsidR="00992770" w:rsidRPr="00650347" w:rsidRDefault="00992770" w:rsidP="00AB25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2A2C" w:rsidRDefault="00C2082E" w:rsidP="00AB256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Hostels are grouped into three categories </w:t>
      </w:r>
      <w:r w:rsidR="00AB256A">
        <w:rPr>
          <w:rFonts w:ascii="Arial" w:hAnsi="Arial" w:cs="Arial"/>
          <w:sz w:val="24"/>
          <w:szCs w:val="24"/>
        </w:rPr>
        <w:t>only, that is</w:t>
      </w:r>
      <w:r>
        <w:rPr>
          <w:rFonts w:ascii="Arial" w:hAnsi="Arial" w:cs="Arial"/>
          <w:sz w:val="24"/>
          <w:szCs w:val="24"/>
        </w:rPr>
        <w:t>: public, private and grey hostels</w:t>
      </w:r>
      <w:r w:rsidR="00CE2A2C">
        <w:rPr>
          <w:rFonts w:ascii="Arial" w:hAnsi="Arial" w:cs="Arial"/>
          <w:sz w:val="24"/>
          <w:szCs w:val="24"/>
        </w:rPr>
        <w:t>.</w:t>
      </w:r>
    </w:p>
    <w:p w:rsidR="00C2082E" w:rsidRDefault="00CE2A2C" w:rsidP="00AB256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is only</w:t>
      </w:r>
      <w:r w:rsidR="00C2082E">
        <w:rPr>
          <w:rFonts w:ascii="Arial" w:hAnsi="Arial" w:cs="Arial"/>
          <w:sz w:val="24"/>
          <w:szCs w:val="24"/>
        </w:rPr>
        <w:t xml:space="preserve"> responsible for public sector hostels</w:t>
      </w:r>
      <w:r>
        <w:rPr>
          <w:rFonts w:ascii="Arial" w:hAnsi="Arial" w:cs="Arial"/>
          <w:sz w:val="24"/>
          <w:szCs w:val="24"/>
        </w:rPr>
        <w:t xml:space="preserve"> and is currently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transforming hostels into family units</w:t>
      </w:r>
      <w:r>
        <w:rPr>
          <w:rFonts w:ascii="Arial" w:hAnsi="Arial" w:cs="Arial"/>
          <w:sz w:val="24"/>
          <w:szCs w:val="24"/>
        </w:rPr>
        <w:t xml:space="preserve"> </w:t>
      </w:r>
      <w:r w:rsidR="00AB256A">
        <w:rPr>
          <w:rFonts w:ascii="Arial" w:hAnsi="Arial" w:cs="Arial"/>
          <w:sz w:val="24"/>
          <w:szCs w:val="24"/>
        </w:rPr>
        <w:t>using</w:t>
      </w:r>
      <w:r w:rsidRPr="008F405F">
        <w:rPr>
          <w:rFonts w:ascii="Arial" w:hAnsi="Arial" w:cs="Arial"/>
          <w:sz w:val="24"/>
          <w:szCs w:val="24"/>
        </w:rPr>
        <w:t xml:space="preserve"> the Community Residential Units (CRU)</w:t>
      </w:r>
      <w:r w:rsidR="00AB256A">
        <w:rPr>
          <w:rFonts w:ascii="Arial" w:hAnsi="Arial" w:cs="Arial"/>
          <w:sz w:val="24"/>
          <w:szCs w:val="24"/>
        </w:rPr>
        <w:t xml:space="preserve"> programme. The programme </w:t>
      </w:r>
      <w:r w:rsidRPr="00792D6A">
        <w:rPr>
          <w:rFonts w:ascii="Arial" w:hAnsi="Arial" w:cs="Arial"/>
          <w:sz w:val="24"/>
          <w:szCs w:val="24"/>
        </w:rPr>
        <w:t xml:space="preserve">provides grant funding to provinces and municipalities for the upgrading, conversion, or complete redevelopment of existing </w:t>
      </w:r>
      <w:r>
        <w:rPr>
          <w:rFonts w:ascii="Arial" w:hAnsi="Arial" w:cs="Arial"/>
          <w:sz w:val="24"/>
          <w:szCs w:val="24"/>
        </w:rPr>
        <w:t>government</w:t>
      </w:r>
      <w:r w:rsidRPr="00792D6A">
        <w:rPr>
          <w:rFonts w:ascii="Arial" w:hAnsi="Arial" w:cs="Arial"/>
          <w:sz w:val="24"/>
          <w:szCs w:val="24"/>
        </w:rPr>
        <w:t xml:space="preserve"> owned rental stock</w:t>
      </w:r>
      <w:r>
        <w:rPr>
          <w:rFonts w:ascii="Arial" w:hAnsi="Arial" w:cs="Arial"/>
          <w:sz w:val="24"/>
          <w:szCs w:val="24"/>
        </w:rPr>
        <w:t>,</w:t>
      </w:r>
      <w:r w:rsidRPr="00792D6A">
        <w:rPr>
          <w:rFonts w:ascii="Arial" w:hAnsi="Arial" w:cs="Arial"/>
          <w:sz w:val="24"/>
          <w:szCs w:val="24"/>
        </w:rPr>
        <w:t xml:space="preserve"> including hostels</w:t>
      </w:r>
      <w:r>
        <w:rPr>
          <w:rFonts w:ascii="Arial" w:hAnsi="Arial" w:cs="Arial"/>
          <w:sz w:val="24"/>
          <w:szCs w:val="24"/>
        </w:rPr>
        <w:t>.</w:t>
      </w:r>
    </w:p>
    <w:p w:rsidR="00AB256A" w:rsidRDefault="00AB256A" w:rsidP="00A56AA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0BE">
        <w:rPr>
          <w:rFonts w:ascii="Arial" w:hAnsi="Arial" w:cs="Arial"/>
          <w:sz w:val="24"/>
          <w:szCs w:val="24"/>
        </w:rPr>
        <w:t>Due to the vast size of hostels and limited budget, all hostel projects are undertaken in phases and planned over a span of 10 to 30 years, therefore it is very difficult to put the exact date for the completion of the transformation of the hostels into family units.</w:t>
      </w:r>
    </w:p>
    <w:sectPr w:rsidR="00AB256A" w:rsidSect="00D80B12">
      <w:pgSz w:w="11909" w:h="16834" w:code="9"/>
      <w:pgMar w:top="1134" w:right="1440" w:bottom="85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FA6"/>
    <w:multiLevelType w:val="hybridMultilevel"/>
    <w:tmpl w:val="A06CC680"/>
    <w:lvl w:ilvl="0" w:tplc="C8F84F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85E"/>
    <w:multiLevelType w:val="hybridMultilevel"/>
    <w:tmpl w:val="77685D1A"/>
    <w:lvl w:ilvl="0" w:tplc="8B826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52201"/>
    <w:multiLevelType w:val="hybridMultilevel"/>
    <w:tmpl w:val="55924406"/>
    <w:lvl w:ilvl="0" w:tplc="3566F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551B0"/>
    <w:multiLevelType w:val="hybridMultilevel"/>
    <w:tmpl w:val="7CD469F6"/>
    <w:lvl w:ilvl="0" w:tplc="580ACBF2">
      <w:start w:val="1"/>
      <w:numFmt w:val="lowerLetter"/>
      <w:lvlText w:val="(%1)"/>
      <w:lvlJc w:val="left"/>
      <w:pPr>
        <w:ind w:left="42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6" w:hanging="360"/>
      </w:pPr>
    </w:lvl>
    <w:lvl w:ilvl="2" w:tplc="1C09001B" w:tentative="1">
      <w:start w:val="1"/>
      <w:numFmt w:val="lowerRoman"/>
      <w:lvlText w:val="%3."/>
      <w:lvlJc w:val="right"/>
      <w:pPr>
        <w:ind w:left="1866" w:hanging="180"/>
      </w:pPr>
    </w:lvl>
    <w:lvl w:ilvl="3" w:tplc="1C09000F" w:tentative="1">
      <w:start w:val="1"/>
      <w:numFmt w:val="decimal"/>
      <w:lvlText w:val="%4."/>
      <w:lvlJc w:val="left"/>
      <w:pPr>
        <w:ind w:left="2586" w:hanging="360"/>
      </w:pPr>
    </w:lvl>
    <w:lvl w:ilvl="4" w:tplc="1C090019" w:tentative="1">
      <w:start w:val="1"/>
      <w:numFmt w:val="lowerLetter"/>
      <w:lvlText w:val="%5."/>
      <w:lvlJc w:val="left"/>
      <w:pPr>
        <w:ind w:left="3306" w:hanging="360"/>
      </w:pPr>
    </w:lvl>
    <w:lvl w:ilvl="5" w:tplc="1C09001B" w:tentative="1">
      <w:start w:val="1"/>
      <w:numFmt w:val="lowerRoman"/>
      <w:lvlText w:val="%6."/>
      <w:lvlJc w:val="right"/>
      <w:pPr>
        <w:ind w:left="4026" w:hanging="180"/>
      </w:pPr>
    </w:lvl>
    <w:lvl w:ilvl="6" w:tplc="1C09000F" w:tentative="1">
      <w:start w:val="1"/>
      <w:numFmt w:val="decimal"/>
      <w:lvlText w:val="%7."/>
      <w:lvlJc w:val="left"/>
      <w:pPr>
        <w:ind w:left="4746" w:hanging="360"/>
      </w:pPr>
    </w:lvl>
    <w:lvl w:ilvl="7" w:tplc="1C090019" w:tentative="1">
      <w:start w:val="1"/>
      <w:numFmt w:val="lowerLetter"/>
      <w:lvlText w:val="%8."/>
      <w:lvlJc w:val="left"/>
      <w:pPr>
        <w:ind w:left="5466" w:hanging="360"/>
      </w:pPr>
    </w:lvl>
    <w:lvl w:ilvl="8" w:tplc="1C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07A2"/>
    <w:rsid w:val="00031AA9"/>
    <w:rsid w:val="000F64E9"/>
    <w:rsid w:val="001255A3"/>
    <w:rsid w:val="00212767"/>
    <w:rsid w:val="00212D39"/>
    <w:rsid w:val="002177A1"/>
    <w:rsid w:val="002D34E5"/>
    <w:rsid w:val="0030133C"/>
    <w:rsid w:val="003E3921"/>
    <w:rsid w:val="004566B0"/>
    <w:rsid w:val="004E07A2"/>
    <w:rsid w:val="00540FBD"/>
    <w:rsid w:val="00602140"/>
    <w:rsid w:val="00605EBA"/>
    <w:rsid w:val="0062066F"/>
    <w:rsid w:val="00650347"/>
    <w:rsid w:val="00695633"/>
    <w:rsid w:val="006A6694"/>
    <w:rsid w:val="006B405F"/>
    <w:rsid w:val="00744A6C"/>
    <w:rsid w:val="00762DBC"/>
    <w:rsid w:val="007724F1"/>
    <w:rsid w:val="007A0CDC"/>
    <w:rsid w:val="007D7875"/>
    <w:rsid w:val="00835901"/>
    <w:rsid w:val="008803AB"/>
    <w:rsid w:val="008F405F"/>
    <w:rsid w:val="009021B1"/>
    <w:rsid w:val="00916959"/>
    <w:rsid w:val="00992770"/>
    <w:rsid w:val="009A74D7"/>
    <w:rsid w:val="00A170BE"/>
    <w:rsid w:val="00A25EEB"/>
    <w:rsid w:val="00A277C2"/>
    <w:rsid w:val="00A416CA"/>
    <w:rsid w:val="00A70336"/>
    <w:rsid w:val="00AB256A"/>
    <w:rsid w:val="00AC38D2"/>
    <w:rsid w:val="00B04F36"/>
    <w:rsid w:val="00B303BC"/>
    <w:rsid w:val="00B43DC4"/>
    <w:rsid w:val="00C04E27"/>
    <w:rsid w:val="00C2082E"/>
    <w:rsid w:val="00CE2A2C"/>
    <w:rsid w:val="00D25214"/>
    <w:rsid w:val="00DA7FDB"/>
    <w:rsid w:val="00DD5378"/>
    <w:rsid w:val="00EC239E"/>
    <w:rsid w:val="00F325A8"/>
    <w:rsid w:val="00F62EB5"/>
    <w:rsid w:val="00F77C64"/>
    <w:rsid w:val="00F866FD"/>
    <w:rsid w:val="00F9491F"/>
    <w:rsid w:val="00FA1595"/>
    <w:rsid w:val="00F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70"/>
    <w:pPr>
      <w:ind w:left="720"/>
      <w:contextualSpacing/>
    </w:pPr>
  </w:style>
  <w:style w:type="table" w:styleId="TableGrid">
    <w:name w:val="Table Grid"/>
    <w:basedOn w:val="TableNormal"/>
    <w:uiPriority w:val="39"/>
    <w:rsid w:val="0065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29EC-B20B-49EC-9645-32C17A0E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Ohlson</dc:creator>
  <cp:lastModifiedBy>USER</cp:lastModifiedBy>
  <cp:revision>2</cp:revision>
  <cp:lastPrinted>2022-05-04T08:43:00Z</cp:lastPrinted>
  <dcterms:created xsi:type="dcterms:W3CDTF">2022-05-17T08:42:00Z</dcterms:created>
  <dcterms:modified xsi:type="dcterms:W3CDTF">2022-05-17T08:42:00Z</dcterms:modified>
</cp:coreProperties>
</file>