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460E13">
        <w:rPr>
          <w:b/>
          <w:bCs/>
          <w:sz w:val="24"/>
          <w:u w:val="single"/>
        </w:rPr>
        <w:t>3</w:t>
      </w:r>
      <w:r w:rsidR="00313752">
        <w:rPr>
          <w:b/>
          <w:bCs/>
          <w:sz w:val="24"/>
          <w:u w:val="single"/>
        </w:rPr>
        <w:t>3</w:t>
      </w:r>
      <w:r w:rsidR="006F7386">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22</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E61DDC">
        <w:rPr>
          <w:b/>
          <w:bCs/>
          <w:sz w:val="24"/>
          <w:u w:val="single"/>
        </w:rPr>
        <w:t>4</w:t>
      </w:r>
      <w:r w:rsidRPr="00294557">
        <w:rPr>
          <w:b/>
          <w:bCs/>
          <w:sz w:val="24"/>
          <w:u w:val="single"/>
        </w:rPr>
        <w:t>)</w:t>
      </w:r>
    </w:p>
    <w:p w:rsidR="006F7386" w:rsidRPr="006F7386" w:rsidRDefault="006F7386" w:rsidP="006F7386">
      <w:pPr>
        <w:spacing w:before="100" w:beforeAutospacing="1" w:after="100" w:afterAutospacing="1"/>
        <w:ind w:left="720" w:hanging="720"/>
        <w:jc w:val="both"/>
        <w:outlineLvl w:val="0"/>
        <w:rPr>
          <w:b/>
          <w:sz w:val="24"/>
        </w:rPr>
      </w:pPr>
      <w:r w:rsidRPr="006F7386">
        <w:rPr>
          <w:b/>
          <w:sz w:val="24"/>
          <w:u w:val="single"/>
        </w:rPr>
        <w:t xml:space="preserve">Ms N </w:t>
      </w:r>
      <w:proofErr w:type="spellStart"/>
      <w:r w:rsidRPr="006F7386">
        <w:rPr>
          <w:b/>
          <w:sz w:val="24"/>
          <w:u w:val="single"/>
        </w:rPr>
        <w:t>N</w:t>
      </w:r>
      <w:proofErr w:type="spellEnd"/>
      <w:r w:rsidRPr="006F7386">
        <w:rPr>
          <w:b/>
          <w:sz w:val="24"/>
          <w:u w:val="single"/>
        </w:rPr>
        <w:t xml:space="preserve"> </w:t>
      </w:r>
      <w:proofErr w:type="spellStart"/>
      <w:r w:rsidRPr="006F7386">
        <w:rPr>
          <w:b/>
          <w:sz w:val="24"/>
          <w:u w:val="single"/>
        </w:rPr>
        <w:t>Chirwa</w:t>
      </w:r>
      <w:proofErr w:type="spellEnd"/>
      <w:r w:rsidRPr="006F7386">
        <w:rPr>
          <w:b/>
          <w:sz w:val="24"/>
          <w:u w:val="single"/>
        </w:rPr>
        <w:t xml:space="preserve"> (EFF) to </w:t>
      </w:r>
      <w:r w:rsidRPr="006F7386">
        <w:rPr>
          <w:b/>
          <w:sz w:val="24"/>
          <w:u w:val="single"/>
          <w:lang w:val="en-US"/>
        </w:rPr>
        <w:t>ask</w:t>
      </w:r>
      <w:r w:rsidRPr="006F7386">
        <w:rPr>
          <w:b/>
          <w:sz w:val="24"/>
          <w:u w:val="single"/>
        </w:rPr>
        <w:t xml:space="preserve"> the Minister of Health</w:t>
      </w:r>
      <w:r w:rsidR="008F6542" w:rsidRPr="006F7386">
        <w:rPr>
          <w:b/>
          <w:sz w:val="24"/>
          <w:u w:val="single"/>
        </w:rPr>
        <w:fldChar w:fldCharType="begin"/>
      </w:r>
      <w:r w:rsidRPr="006F7386">
        <w:rPr>
          <w:u w:val="single"/>
        </w:rPr>
        <w:instrText xml:space="preserve"> XE "</w:instrText>
      </w:r>
      <w:r w:rsidRPr="006F7386">
        <w:rPr>
          <w:b/>
          <w:sz w:val="24"/>
          <w:u w:val="single"/>
        </w:rPr>
        <w:instrText>Health</w:instrText>
      </w:r>
      <w:r w:rsidRPr="006F7386">
        <w:rPr>
          <w:u w:val="single"/>
        </w:rPr>
        <w:instrText xml:space="preserve">" </w:instrText>
      </w:r>
      <w:r w:rsidR="008F6542" w:rsidRPr="006F7386">
        <w:rPr>
          <w:b/>
          <w:sz w:val="24"/>
          <w:u w:val="single"/>
        </w:rPr>
        <w:fldChar w:fldCharType="end"/>
      </w:r>
      <w:r w:rsidRPr="006F7386">
        <w:rPr>
          <w:b/>
          <w:sz w:val="24"/>
          <w:u w:val="single"/>
        </w:rPr>
        <w:t>:</w:t>
      </w:r>
      <w:r>
        <w:rPr>
          <w:b/>
          <w:sz w:val="24"/>
          <w:u w:val="single"/>
        </w:rPr>
        <w:t xml:space="preserve"> </w:t>
      </w:r>
    </w:p>
    <w:p w:rsidR="0093674D" w:rsidRPr="006F7386" w:rsidRDefault="006F7386" w:rsidP="006F7386">
      <w:pPr>
        <w:spacing w:before="240"/>
        <w:ind w:right="26"/>
        <w:jc w:val="both"/>
        <w:rPr>
          <w:sz w:val="20"/>
          <w:szCs w:val="20"/>
        </w:rPr>
      </w:pPr>
      <w:r w:rsidRPr="006F7386">
        <w:rPr>
          <w:color w:val="000000"/>
          <w:sz w:val="24"/>
        </w:rPr>
        <w:t xml:space="preserve">Noting the </w:t>
      </w:r>
      <w:r w:rsidRPr="006F7386">
        <w:rPr>
          <w:sz w:val="24"/>
        </w:rPr>
        <w:t>remarks</w:t>
      </w:r>
      <w:r w:rsidRPr="006F7386">
        <w:rPr>
          <w:color w:val="000000"/>
          <w:sz w:val="24"/>
        </w:rPr>
        <w:t xml:space="preserve"> by the Auditor-General that the administration of the Eastern Cape Department of </w:t>
      </w:r>
      <w:r w:rsidRPr="006F7386">
        <w:rPr>
          <w:sz w:val="24"/>
        </w:rPr>
        <w:t>Health</w:t>
      </w:r>
      <w:r w:rsidRPr="006F7386">
        <w:rPr>
          <w:color w:val="000000"/>
          <w:sz w:val="24"/>
        </w:rPr>
        <w:t xml:space="preserve"> is in crisis, what intervention measures has he put in place to resolve the specified </w:t>
      </w:r>
      <w:r w:rsidRPr="006F7386">
        <w:rPr>
          <w:sz w:val="24"/>
        </w:rPr>
        <w:t>crisis</w:t>
      </w:r>
      <w:r w:rsidRPr="006F7386">
        <w:rPr>
          <w:color w:val="000000"/>
          <w:sz w:val="24"/>
        </w:rPr>
        <w:t xml:space="preserve"> in the specified province</w:t>
      </w:r>
      <w:r w:rsidRPr="006F7386">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E61DDC">
        <w:rPr>
          <w:color w:val="000000"/>
        </w:rPr>
        <w:t>47</w:t>
      </w:r>
      <w:r w:rsidR="006F7386">
        <w:rPr>
          <w:color w:val="000000"/>
        </w:rPr>
        <w:t>6</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CA70E9" w:rsidRPr="0082090C" w:rsidRDefault="00CA70E9" w:rsidP="00CA70E9">
      <w:pPr>
        <w:rPr>
          <w:b/>
          <w:bCs/>
          <w:sz w:val="24"/>
          <w:u w:val="single"/>
          <w:lang w:val="en-US"/>
        </w:rPr>
      </w:pPr>
    </w:p>
    <w:p w:rsidR="000039C1" w:rsidRPr="000039C1" w:rsidRDefault="000039C1" w:rsidP="000039C1">
      <w:pPr>
        <w:jc w:val="both"/>
        <w:rPr>
          <w:sz w:val="24"/>
        </w:rPr>
      </w:pPr>
      <w:r w:rsidRPr="000039C1">
        <w:rPr>
          <w:sz w:val="24"/>
        </w:rPr>
        <w:t>The Eastern Cape Department of Health has put together a Health Turn-Around Plan consisting of six pillars to address the administrative challenges of the EC DOH. The strategies outlined in the plan envisage collaboration with and seeking assistance from other government departments and the Office of the Premier as well as external stakeholders including private sector, communities and academic institutions. The plan gives a detailed outline of the strategies and the support required from each of these stakeholders. The pillars of the plan are summarised below.</w:t>
      </w:r>
    </w:p>
    <w:p w:rsidR="000039C1" w:rsidRPr="000039C1" w:rsidRDefault="000039C1" w:rsidP="000039C1">
      <w:pPr>
        <w:jc w:val="both"/>
        <w:rPr>
          <w:b/>
          <w:sz w:val="24"/>
        </w:rPr>
      </w:pPr>
    </w:p>
    <w:p w:rsidR="000039C1" w:rsidRDefault="000039C1" w:rsidP="000039C1">
      <w:pPr>
        <w:jc w:val="both"/>
        <w:rPr>
          <w:b/>
          <w:sz w:val="24"/>
        </w:rPr>
      </w:pPr>
      <w:r w:rsidRPr="000039C1">
        <w:rPr>
          <w:b/>
          <w:sz w:val="24"/>
        </w:rPr>
        <w:t>PILLARS OF THE EC HEALTH TURNAROUND PLAN AND STRATEGIC SUPPORT</w:t>
      </w:r>
    </w:p>
    <w:p w:rsidR="000039C1" w:rsidRPr="000039C1" w:rsidRDefault="000039C1" w:rsidP="000039C1">
      <w:pPr>
        <w:jc w:val="both"/>
        <w:rPr>
          <w:b/>
          <w:sz w:val="24"/>
        </w:rPr>
      </w:pPr>
    </w:p>
    <w:p w:rsidR="000039C1" w:rsidRPr="000039C1" w:rsidRDefault="000039C1" w:rsidP="000039C1">
      <w:pPr>
        <w:pStyle w:val="ListParagraph"/>
        <w:numPr>
          <w:ilvl w:val="0"/>
          <w:numId w:val="3"/>
        </w:numPr>
        <w:spacing w:after="160" w:line="259" w:lineRule="auto"/>
        <w:ind w:left="357" w:hanging="357"/>
        <w:jc w:val="both"/>
        <w:rPr>
          <w:sz w:val="24"/>
        </w:rPr>
      </w:pPr>
      <w:r w:rsidRPr="000039C1">
        <w:rPr>
          <w:b/>
          <w:sz w:val="24"/>
        </w:rPr>
        <w:t>Financial sustainability initiative</w:t>
      </w:r>
      <w:r w:rsidRPr="000039C1">
        <w:rPr>
          <w:sz w:val="24"/>
        </w:rPr>
        <w:t xml:space="preserve">: This pillar addresses the EC DOH financial discipline and wellness; looking at strategies to take department </w:t>
      </w:r>
      <w:r w:rsidRPr="000039C1">
        <w:rPr>
          <w:sz w:val="24"/>
          <w:lang w:val="en-US"/>
        </w:rPr>
        <w:t xml:space="preserve">beyond compliance and towards social entrepreneurship. </w:t>
      </w:r>
      <w:r w:rsidRPr="000039C1">
        <w:rPr>
          <w:sz w:val="24"/>
        </w:rPr>
        <w:t xml:space="preserve">Strategies to address this pillar include a) revenue generation, b) introducing efficiencies, c) management of cost-drivers and d) management of debt and unauthorised expenditure. </w:t>
      </w:r>
    </w:p>
    <w:p w:rsidR="000039C1" w:rsidRPr="000039C1" w:rsidRDefault="000039C1" w:rsidP="000039C1">
      <w:pPr>
        <w:pStyle w:val="ListParagraph"/>
        <w:ind w:left="357"/>
        <w:jc w:val="both"/>
        <w:rPr>
          <w:sz w:val="24"/>
        </w:rPr>
      </w:pPr>
    </w:p>
    <w:p w:rsidR="000039C1" w:rsidRPr="000039C1" w:rsidRDefault="000039C1" w:rsidP="000039C1">
      <w:pPr>
        <w:pStyle w:val="ListParagraph"/>
        <w:numPr>
          <w:ilvl w:val="0"/>
          <w:numId w:val="3"/>
        </w:numPr>
        <w:spacing w:after="160" w:line="259" w:lineRule="auto"/>
        <w:ind w:left="357" w:hanging="357"/>
        <w:jc w:val="both"/>
        <w:rPr>
          <w:sz w:val="24"/>
        </w:rPr>
      </w:pPr>
      <w:r w:rsidRPr="000039C1">
        <w:rPr>
          <w:b/>
          <w:sz w:val="24"/>
        </w:rPr>
        <w:t>Medico-legal intervention</w:t>
      </w:r>
      <w:r w:rsidRPr="000039C1">
        <w:rPr>
          <w:sz w:val="24"/>
        </w:rPr>
        <w:t xml:space="preserve">: addresses </w:t>
      </w:r>
      <w:r w:rsidR="0003207E">
        <w:rPr>
          <w:sz w:val="24"/>
        </w:rPr>
        <w:t xml:space="preserve">the following </w:t>
      </w:r>
      <w:bookmarkStart w:id="0" w:name="_GoBack"/>
      <w:bookmarkEnd w:id="0"/>
      <w:r w:rsidRPr="000039C1">
        <w:rPr>
          <w:sz w:val="24"/>
        </w:rPr>
        <w:t xml:space="preserve">strategic objectives </w:t>
      </w:r>
      <w:proofErr w:type="spellStart"/>
      <w:r w:rsidRPr="000039C1">
        <w:rPr>
          <w:sz w:val="24"/>
        </w:rPr>
        <w:t>i.e</w:t>
      </w:r>
      <w:proofErr w:type="spellEnd"/>
    </w:p>
    <w:p w:rsidR="000039C1" w:rsidRPr="000039C1" w:rsidRDefault="000039C1" w:rsidP="000039C1">
      <w:pPr>
        <w:pStyle w:val="ListParagraph"/>
        <w:numPr>
          <w:ilvl w:val="0"/>
          <w:numId w:val="4"/>
        </w:numPr>
        <w:spacing w:after="160" w:line="259" w:lineRule="auto"/>
        <w:ind w:left="714" w:hanging="357"/>
        <w:jc w:val="both"/>
        <w:rPr>
          <w:sz w:val="24"/>
        </w:rPr>
      </w:pPr>
      <w:r w:rsidRPr="000039C1">
        <w:rPr>
          <w:sz w:val="24"/>
        </w:rPr>
        <w:t>Stopping haemorrhage of funds</w:t>
      </w:r>
    </w:p>
    <w:p w:rsidR="000039C1" w:rsidRPr="000039C1" w:rsidRDefault="000039C1" w:rsidP="000039C1">
      <w:pPr>
        <w:pStyle w:val="ListParagraph"/>
        <w:numPr>
          <w:ilvl w:val="0"/>
          <w:numId w:val="4"/>
        </w:numPr>
        <w:spacing w:after="160" w:line="259" w:lineRule="auto"/>
        <w:ind w:left="714" w:hanging="357"/>
        <w:jc w:val="both"/>
        <w:rPr>
          <w:sz w:val="24"/>
        </w:rPr>
      </w:pPr>
      <w:r w:rsidRPr="000039C1">
        <w:rPr>
          <w:sz w:val="24"/>
        </w:rPr>
        <w:t>Strengthening case management</w:t>
      </w:r>
    </w:p>
    <w:p w:rsidR="000039C1" w:rsidRPr="000039C1" w:rsidRDefault="000039C1" w:rsidP="000039C1">
      <w:pPr>
        <w:pStyle w:val="ListParagraph"/>
        <w:numPr>
          <w:ilvl w:val="0"/>
          <w:numId w:val="4"/>
        </w:numPr>
        <w:spacing w:after="160" w:line="259" w:lineRule="auto"/>
        <w:ind w:left="714" w:hanging="357"/>
        <w:jc w:val="both"/>
        <w:rPr>
          <w:sz w:val="24"/>
        </w:rPr>
      </w:pPr>
      <w:r w:rsidRPr="000039C1">
        <w:rPr>
          <w:sz w:val="24"/>
        </w:rPr>
        <w:t>Developing Medico-Legal litigation expertise</w:t>
      </w:r>
    </w:p>
    <w:p w:rsidR="000039C1" w:rsidRPr="000039C1" w:rsidRDefault="000039C1" w:rsidP="000039C1">
      <w:pPr>
        <w:pStyle w:val="ListParagraph"/>
        <w:numPr>
          <w:ilvl w:val="0"/>
          <w:numId w:val="4"/>
        </w:numPr>
        <w:spacing w:after="160" w:line="259" w:lineRule="auto"/>
        <w:ind w:left="714" w:hanging="357"/>
        <w:jc w:val="both"/>
        <w:rPr>
          <w:sz w:val="24"/>
        </w:rPr>
      </w:pPr>
      <w:r w:rsidRPr="000039C1">
        <w:rPr>
          <w:sz w:val="24"/>
          <w:lang w:val="en-US"/>
        </w:rPr>
        <w:t xml:space="preserve">Manage </w:t>
      </w:r>
      <w:proofErr w:type="spellStart"/>
      <w:r w:rsidRPr="000039C1">
        <w:rPr>
          <w:sz w:val="24"/>
          <w:lang w:val="en-US"/>
        </w:rPr>
        <w:t>unauthorised</w:t>
      </w:r>
      <w:proofErr w:type="spellEnd"/>
      <w:r w:rsidRPr="000039C1">
        <w:rPr>
          <w:sz w:val="24"/>
          <w:lang w:val="en-US"/>
        </w:rPr>
        <w:t xml:space="preserve"> expenditure associated Medico-Legal (ML) settlements</w:t>
      </w:r>
    </w:p>
    <w:p w:rsidR="000039C1" w:rsidRPr="000039C1" w:rsidRDefault="000039C1" w:rsidP="000039C1">
      <w:pPr>
        <w:pStyle w:val="ListParagraph"/>
        <w:jc w:val="both"/>
        <w:rPr>
          <w:sz w:val="24"/>
        </w:rPr>
      </w:pPr>
    </w:p>
    <w:p w:rsidR="000039C1" w:rsidRPr="000039C1" w:rsidRDefault="000039C1" w:rsidP="000039C1">
      <w:pPr>
        <w:pStyle w:val="ListParagraph"/>
        <w:numPr>
          <w:ilvl w:val="0"/>
          <w:numId w:val="3"/>
        </w:numPr>
        <w:spacing w:after="160" w:line="259" w:lineRule="auto"/>
        <w:ind w:left="357" w:hanging="357"/>
        <w:jc w:val="both"/>
        <w:rPr>
          <w:b/>
          <w:sz w:val="24"/>
        </w:rPr>
      </w:pPr>
      <w:r w:rsidRPr="000039C1">
        <w:rPr>
          <w:b/>
          <w:sz w:val="24"/>
        </w:rPr>
        <w:t xml:space="preserve">Service delivery optimisation pillar </w:t>
      </w:r>
      <w:r w:rsidRPr="000039C1">
        <w:rPr>
          <w:sz w:val="24"/>
        </w:rPr>
        <w:t>focuses on:</w:t>
      </w:r>
    </w:p>
    <w:p w:rsidR="000039C1" w:rsidRPr="000039C1" w:rsidRDefault="000039C1" w:rsidP="000039C1">
      <w:pPr>
        <w:pStyle w:val="ListParagraph"/>
        <w:numPr>
          <w:ilvl w:val="0"/>
          <w:numId w:val="5"/>
        </w:numPr>
        <w:spacing w:after="160" w:line="259" w:lineRule="auto"/>
        <w:ind w:left="714" w:hanging="357"/>
        <w:jc w:val="both"/>
        <w:rPr>
          <w:sz w:val="24"/>
        </w:rPr>
      </w:pPr>
      <w:r w:rsidRPr="000039C1">
        <w:rPr>
          <w:sz w:val="24"/>
        </w:rPr>
        <w:t xml:space="preserve">Service </w:t>
      </w:r>
      <w:proofErr w:type="spellStart"/>
      <w:r w:rsidRPr="000039C1">
        <w:rPr>
          <w:sz w:val="24"/>
        </w:rPr>
        <w:t>Optomisation</w:t>
      </w:r>
      <w:proofErr w:type="spellEnd"/>
      <w:r w:rsidRPr="000039C1">
        <w:rPr>
          <w:sz w:val="24"/>
        </w:rPr>
        <w:t xml:space="preserve"> Implementation Planning</w:t>
      </w:r>
    </w:p>
    <w:p w:rsidR="000039C1" w:rsidRPr="000039C1" w:rsidRDefault="000039C1" w:rsidP="000039C1">
      <w:pPr>
        <w:pStyle w:val="ListParagraph"/>
        <w:numPr>
          <w:ilvl w:val="0"/>
          <w:numId w:val="5"/>
        </w:numPr>
        <w:spacing w:after="160" w:line="259" w:lineRule="auto"/>
        <w:ind w:left="714" w:hanging="357"/>
        <w:jc w:val="both"/>
        <w:rPr>
          <w:sz w:val="24"/>
        </w:rPr>
      </w:pPr>
      <w:r w:rsidRPr="000039C1">
        <w:rPr>
          <w:sz w:val="24"/>
          <w:lang w:val="en-US"/>
        </w:rPr>
        <w:t>HR Intervention to promote SDO</w:t>
      </w:r>
    </w:p>
    <w:p w:rsidR="000039C1" w:rsidRPr="000039C1" w:rsidRDefault="000039C1" w:rsidP="000039C1">
      <w:pPr>
        <w:pStyle w:val="ListParagraph"/>
        <w:numPr>
          <w:ilvl w:val="0"/>
          <w:numId w:val="5"/>
        </w:numPr>
        <w:spacing w:after="160" w:line="259" w:lineRule="auto"/>
        <w:ind w:left="714" w:hanging="357"/>
        <w:jc w:val="both"/>
        <w:rPr>
          <w:sz w:val="24"/>
        </w:rPr>
      </w:pPr>
      <w:r w:rsidRPr="000039C1">
        <w:rPr>
          <w:sz w:val="24"/>
        </w:rPr>
        <w:t>Securing buy-in from key stakeholders</w:t>
      </w:r>
    </w:p>
    <w:p w:rsidR="000039C1" w:rsidRPr="000039C1" w:rsidRDefault="000039C1" w:rsidP="000039C1">
      <w:pPr>
        <w:pStyle w:val="ListParagraph"/>
        <w:ind w:left="1077"/>
        <w:jc w:val="both"/>
        <w:rPr>
          <w:sz w:val="24"/>
        </w:rPr>
      </w:pPr>
    </w:p>
    <w:p w:rsidR="000039C1" w:rsidRPr="000039C1" w:rsidRDefault="000039C1" w:rsidP="000039C1">
      <w:pPr>
        <w:pStyle w:val="ListParagraph"/>
        <w:numPr>
          <w:ilvl w:val="0"/>
          <w:numId w:val="3"/>
        </w:numPr>
        <w:spacing w:after="160" w:line="259" w:lineRule="auto"/>
        <w:ind w:left="357" w:hanging="357"/>
        <w:jc w:val="both"/>
        <w:rPr>
          <w:bCs/>
          <w:sz w:val="24"/>
        </w:rPr>
      </w:pPr>
      <w:r w:rsidRPr="000039C1">
        <w:rPr>
          <w:b/>
          <w:sz w:val="24"/>
        </w:rPr>
        <w:t xml:space="preserve">Digitalisation and eHealth: </w:t>
      </w:r>
      <w:r w:rsidRPr="000039C1">
        <w:rPr>
          <w:sz w:val="24"/>
        </w:rPr>
        <w:t xml:space="preserve">This pillar addresses issues of </w:t>
      </w:r>
      <w:r w:rsidRPr="000039C1">
        <w:rPr>
          <w:bCs/>
          <w:sz w:val="24"/>
          <w:lang w:val="en-US"/>
        </w:rPr>
        <w:t xml:space="preserve">inadequate capacity to track all debts against the department, insufficient staff and budget to electronically capture and store of maternity medical records on HMS2 module. Support services are manual therefore </w:t>
      </w:r>
      <w:proofErr w:type="spellStart"/>
      <w:r w:rsidRPr="000039C1">
        <w:rPr>
          <w:bCs/>
          <w:sz w:val="24"/>
          <w:lang w:val="en-US"/>
        </w:rPr>
        <w:t>labour</w:t>
      </w:r>
      <w:proofErr w:type="spellEnd"/>
      <w:r w:rsidRPr="000039C1">
        <w:rPr>
          <w:bCs/>
          <w:sz w:val="24"/>
          <w:lang w:val="en-US"/>
        </w:rPr>
        <w:t>-intensive, cumbersome and prone to human error and broadband to critical sites slow. Alternative solutions are required in the interim to gain last mile connectivity.</w:t>
      </w:r>
    </w:p>
    <w:p w:rsidR="000039C1" w:rsidRDefault="000039C1" w:rsidP="000039C1">
      <w:pPr>
        <w:pStyle w:val="ListParagraph"/>
        <w:spacing w:after="160" w:line="259" w:lineRule="auto"/>
        <w:ind w:left="357"/>
        <w:jc w:val="both"/>
        <w:rPr>
          <w:b/>
          <w:sz w:val="24"/>
        </w:rPr>
      </w:pPr>
    </w:p>
    <w:p w:rsidR="000039C1" w:rsidRPr="000039C1" w:rsidRDefault="000039C1" w:rsidP="000039C1">
      <w:pPr>
        <w:pStyle w:val="ListParagraph"/>
        <w:spacing w:after="160" w:line="259" w:lineRule="auto"/>
        <w:ind w:left="357"/>
        <w:jc w:val="both"/>
        <w:rPr>
          <w:bCs/>
          <w:sz w:val="24"/>
        </w:rPr>
      </w:pPr>
    </w:p>
    <w:p w:rsidR="000039C1" w:rsidRPr="000039C1" w:rsidRDefault="000039C1" w:rsidP="000039C1">
      <w:pPr>
        <w:pStyle w:val="ListParagraph"/>
        <w:jc w:val="both"/>
        <w:rPr>
          <w:sz w:val="24"/>
        </w:rPr>
      </w:pPr>
    </w:p>
    <w:p w:rsidR="000039C1" w:rsidRPr="000039C1" w:rsidRDefault="000039C1" w:rsidP="000039C1">
      <w:pPr>
        <w:pStyle w:val="ListParagraph"/>
        <w:numPr>
          <w:ilvl w:val="0"/>
          <w:numId w:val="3"/>
        </w:numPr>
        <w:spacing w:after="160" w:line="259" w:lineRule="auto"/>
        <w:ind w:left="357" w:hanging="357"/>
        <w:jc w:val="both"/>
        <w:rPr>
          <w:b/>
          <w:sz w:val="24"/>
        </w:rPr>
      </w:pPr>
      <w:r w:rsidRPr="000039C1">
        <w:rPr>
          <w:b/>
          <w:sz w:val="24"/>
        </w:rPr>
        <w:t xml:space="preserve">Clinical - Healthy Communities Initiatives: </w:t>
      </w:r>
      <w:r w:rsidRPr="000039C1">
        <w:rPr>
          <w:sz w:val="24"/>
        </w:rPr>
        <w:t>has four strategic objectives which are:</w:t>
      </w:r>
    </w:p>
    <w:p w:rsidR="000039C1" w:rsidRPr="000039C1" w:rsidRDefault="000039C1" w:rsidP="000039C1">
      <w:pPr>
        <w:pStyle w:val="ListParagraph"/>
        <w:jc w:val="both"/>
        <w:rPr>
          <w:b/>
          <w:sz w:val="24"/>
        </w:rPr>
      </w:pPr>
    </w:p>
    <w:p w:rsidR="000039C1" w:rsidRPr="000039C1" w:rsidRDefault="000039C1" w:rsidP="000039C1">
      <w:pPr>
        <w:pStyle w:val="ListParagraph"/>
        <w:numPr>
          <w:ilvl w:val="0"/>
          <w:numId w:val="6"/>
        </w:numPr>
        <w:spacing w:after="160" w:line="259" w:lineRule="auto"/>
        <w:ind w:left="720"/>
        <w:jc w:val="both"/>
        <w:rPr>
          <w:sz w:val="24"/>
        </w:rPr>
      </w:pPr>
      <w:r w:rsidRPr="000039C1">
        <w:rPr>
          <w:sz w:val="24"/>
          <w:lang w:val="en-US"/>
        </w:rPr>
        <w:t>National Health Insurance (NHI) implementation through ward-based community outreach teams</w:t>
      </w:r>
    </w:p>
    <w:p w:rsidR="000039C1" w:rsidRPr="000039C1" w:rsidRDefault="000039C1" w:rsidP="000039C1">
      <w:pPr>
        <w:pStyle w:val="ListParagraph"/>
        <w:numPr>
          <w:ilvl w:val="0"/>
          <w:numId w:val="6"/>
        </w:numPr>
        <w:spacing w:after="160" w:line="259" w:lineRule="auto"/>
        <w:ind w:left="720"/>
        <w:jc w:val="both"/>
        <w:rPr>
          <w:sz w:val="24"/>
        </w:rPr>
      </w:pPr>
      <w:r w:rsidRPr="000039C1">
        <w:rPr>
          <w:sz w:val="24"/>
          <w:lang w:val="en-US"/>
        </w:rPr>
        <w:t xml:space="preserve">Primary Health Care (PHC) Approach of inter-sectoral collaboration </w:t>
      </w:r>
    </w:p>
    <w:p w:rsidR="000039C1" w:rsidRPr="000039C1" w:rsidRDefault="000039C1" w:rsidP="000039C1">
      <w:pPr>
        <w:pStyle w:val="ListParagraph"/>
        <w:numPr>
          <w:ilvl w:val="0"/>
          <w:numId w:val="6"/>
        </w:numPr>
        <w:spacing w:after="160" w:line="259" w:lineRule="auto"/>
        <w:ind w:left="720"/>
        <w:jc w:val="both"/>
        <w:rPr>
          <w:sz w:val="24"/>
        </w:rPr>
      </w:pPr>
      <w:r w:rsidRPr="000039C1">
        <w:rPr>
          <w:sz w:val="24"/>
        </w:rPr>
        <w:t>Addressing Burden of Disease</w:t>
      </w:r>
    </w:p>
    <w:p w:rsidR="000039C1" w:rsidRPr="000039C1" w:rsidRDefault="000039C1" w:rsidP="000039C1">
      <w:pPr>
        <w:pStyle w:val="ListParagraph"/>
        <w:numPr>
          <w:ilvl w:val="0"/>
          <w:numId w:val="6"/>
        </w:numPr>
        <w:spacing w:after="160" w:line="259" w:lineRule="auto"/>
        <w:ind w:left="720"/>
        <w:jc w:val="both"/>
        <w:rPr>
          <w:sz w:val="24"/>
        </w:rPr>
      </w:pPr>
      <w:r w:rsidRPr="000039C1">
        <w:rPr>
          <w:sz w:val="24"/>
        </w:rPr>
        <w:t>Integrated Development Planning</w:t>
      </w:r>
    </w:p>
    <w:p w:rsidR="000039C1" w:rsidRPr="000039C1" w:rsidRDefault="000039C1" w:rsidP="000039C1">
      <w:pPr>
        <w:pStyle w:val="ListParagraph"/>
        <w:jc w:val="both"/>
        <w:rPr>
          <w:sz w:val="24"/>
        </w:rPr>
      </w:pPr>
    </w:p>
    <w:p w:rsidR="000039C1" w:rsidRPr="000039C1" w:rsidRDefault="000039C1" w:rsidP="000039C1">
      <w:pPr>
        <w:pStyle w:val="ListParagraph"/>
        <w:numPr>
          <w:ilvl w:val="0"/>
          <w:numId w:val="3"/>
        </w:numPr>
        <w:spacing w:after="160" w:line="259" w:lineRule="auto"/>
        <w:ind w:left="357" w:hanging="357"/>
        <w:jc w:val="both"/>
        <w:rPr>
          <w:sz w:val="24"/>
        </w:rPr>
      </w:pPr>
      <w:r w:rsidRPr="000039C1">
        <w:rPr>
          <w:b/>
          <w:sz w:val="24"/>
        </w:rPr>
        <w:t xml:space="preserve">The Foundation Pillar </w:t>
      </w:r>
      <w:r w:rsidRPr="000039C1">
        <w:rPr>
          <w:sz w:val="24"/>
        </w:rPr>
        <w:t xml:space="preserve">purports to </w:t>
      </w:r>
      <w:r w:rsidRPr="000039C1">
        <w:rPr>
          <w:sz w:val="24"/>
          <w:lang w:val="en-US"/>
        </w:rPr>
        <w:t>strengthen Leadership and Management Capability and improves stakeholder trust and confidence in the EC healthcare system. The key focus areas are valued employees, capable teams, effective leadership and communication &amp; change management.</w:t>
      </w:r>
    </w:p>
    <w:p w:rsidR="000039C1" w:rsidRDefault="000039C1"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0BD" w:rsidRDefault="00BA60BD">
      <w:r>
        <w:separator/>
      </w:r>
    </w:p>
  </w:endnote>
  <w:endnote w:type="continuationSeparator" w:id="0">
    <w:p w:rsidR="00BA60BD" w:rsidRDefault="00BA60B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F6542">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F6542">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7762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0BD" w:rsidRDefault="00BA60BD">
      <w:r>
        <w:separator/>
      </w:r>
    </w:p>
  </w:footnote>
  <w:footnote w:type="continuationSeparator" w:id="0">
    <w:p w:rsidR="00BA60BD" w:rsidRDefault="00BA6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57B12"/>
    <w:multiLevelType w:val="hybridMultilevel"/>
    <w:tmpl w:val="6AE071E8"/>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55833930"/>
    <w:multiLevelType w:val="hybridMultilevel"/>
    <w:tmpl w:val="95FC7F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434730B"/>
    <w:multiLevelType w:val="hybridMultilevel"/>
    <w:tmpl w:val="74E01328"/>
    <w:lvl w:ilvl="0" w:tplc="BBD0C85E">
      <w:start w:val="1"/>
      <w:numFmt w:val="lowerLetter"/>
      <w:lvlText w:val="%1)"/>
      <w:lvlJc w:val="left"/>
      <w:pPr>
        <w:ind w:left="1080" w:hanging="360"/>
      </w:pPr>
      <w:rPr>
        <w:rFonts w:hint="default"/>
      </w:rPr>
    </w:lvl>
    <w:lvl w:ilvl="1" w:tplc="52641D18">
      <w:start w:val="1"/>
      <w:numFmt w:val="decimal"/>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314D30"/>
    <w:multiLevelType w:val="hybridMultilevel"/>
    <w:tmpl w:val="FEE2D07E"/>
    <w:lvl w:ilvl="0" w:tplc="9294D3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2"/>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39C1"/>
    <w:rsid w:val="00007447"/>
    <w:rsid w:val="00012AE9"/>
    <w:rsid w:val="000153FE"/>
    <w:rsid w:val="00016F7C"/>
    <w:rsid w:val="00023BF4"/>
    <w:rsid w:val="00025DC9"/>
    <w:rsid w:val="000303C4"/>
    <w:rsid w:val="0003207E"/>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55B4"/>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090C"/>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6542"/>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77620"/>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A60BD"/>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11B0"/>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1A46"/>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2022-05-16T14:32:00Z</dcterms:created>
  <dcterms:modified xsi:type="dcterms:W3CDTF">2022-05-16T14:32:00Z</dcterms:modified>
</cp:coreProperties>
</file>