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EC598A">
        <w:rPr>
          <w:rFonts w:cs="Arial"/>
          <w:b/>
          <w:sz w:val="24"/>
          <w:szCs w:val="24"/>
          <w:lang w:val="en-US" w:eastAsia="en-US"/>
        </w:rPr>
        <w:t>1</w:t>
      </w:r>
      <w:r w:rsidR="00D87C2E">
        <w:rPr>
          <w:rFonts w:cs="Arial"/>
          <w:b/>
          <w:sz w:val="24"/>
          <w:szCs w:val="24"/>
          <w:lang w:val="en-US" w:eastAsia="en-US"/>
        </w:rPr>
        <w:t>3</w:t>
      </w:r>
      <w:r w:rsidR="005067C0">
        <w:rPr>
          <w:rFonts w:cs="Arial"/>
          <w:b/>
          <w:sz w:val="24"/>
          <w:szCs w:val="24"/>
          <w:lang w:val="en-US" w:eastAsia="en-US"/>
        </w:rPr>
        <w:t>3</w:t>
      </w:r>
      <w:r w:rsidR="00B0146F">
        <w:rPr>
          <w:rFonts w:cs="Arial"/>
          <w:b/>
          <w:sz w:val="24"/>
          <w:szCs w:val="24"/>
          <w:lang w:val="en-US" w:eastAsia="en-US"/>
        </w:rPr>
        <w:t>6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173F8E">
        <w:rPr>
          <w:rFonts w:eastAsia="Calibri" w:cs="Arial"/>
          <w:b/>
          <w:sz w:val="24"/>
          <w:szCs w:val="24"/>
          <w:lang w:eastAsia="en-US"/>
        </w:rPr>
        <w:t>NW143</w:t>
      </w:r>
      <w:r w:rsidR="00B0146F">
        <w:rPr>
          <w:rFonts w:eastAsia="Calibri" w:cs="Arial"/>
          <w:b/>
          <w:sz w:val="24"/>
          <w:szCs w:val="24"/>
          <w:lang w:eastAsia="en-US"/>
        </w:rPr>
        <w:t>6</w:t>
      </w:r>
      <w:r w:rsidR="00EC598A" w:rsidRPr="00EC598A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E25E47">
        <w:rPr>
          <w:rFonts w:cs="Arial"/>
          <w:b/>
          <w:sz w:val="24"/>
          <w:szCs w:val="24"/>
          <w:lang w:val="en-US" w:eastAsia="en-US"/>
        </w:rPr>
        <w:t xml:space="preserve"> </w:t>
      </w:r>
      <w:r w:rsidR="00EC598A">
        <w:rPr>
          <w:rFonts w:cs="Arial"/>
          <w:b/>
          <w:sz w:val="24"/>
          <w:szCs w:val="24"/>
          <w:lang w:val="en-US" w:eastAsia="en-US"/>
        </w:rPr>
        <w:t>No. 14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C598A">
        <w:rPr>
          <w:rFonts w:cs="Arial"/>
          <w:b/>
          <w:sz w:val="24"/>
          <w:szCs w:val="24"/>
        </w:rPr>
        <w:t xml:space="preserve">04 MAY </w:t>
      </w:r>
      <w:r w:rsidR="001372AA">
        <w:rPr>
          <w:rFonts w:cs="Arial"/>
          <w:b/>
          <w:sz w:val="24"/>
          <w:szCs w:val="24"/>
        </w:rPr>
        <w:t>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06107A">
        <w:rPr>
          <w:rFonts w:cs="Arial"/>
          <w:b/>
          <w:sz w:val="24"/>
          <w:szCs w:val="24"/>
          <w:lang w:val="en-US" w:eastAsia="en-US"/>
        </w:rPr>
        <w:t>14 JUNE 2018</w:t>
      </w:r>
      <w:r w:rsidR="00EC598A">
        <w:rPr>
          <w:rFonts w:cs="Arial"/>
          <w:b/>
          <w:sz w:val="24"/>
          <w:szCs w:val="24"/>
          <w:lang w:val="en-US" w:eastAsia="en-US"/>
        </w:rPr>
        <w:t xml:space="preserve">  </w:t>
      </w:r>
      <w:r w:rsidR="00E25E47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EC598A">
        <w:rPr>
          <w:rFonts w:cs="Arial"/>
          <w:b/>
          <w:sz w:val="24"/>
          <w:szCs w:val="24"/>
          <w:lang w:val="en-US" w:eastAsia="en-US"/>
        </w:rPr>
        <w:t xml:space="preserve"> </w:t>
      </w:r>
      <w:r w:rsidR="00AF1FD9">
        <w:rPr>
          <w:rFonts w:cs="Arial"/>
          <w:b/>
          <w:sz w:val="24"/>
          <w:szCs w:val="24"/>
          <w:lang w:val="en-US" w:eastAsia="en-US"/>
        </w:rPr>
        <w:t xml:space="preserve"> </w:t>
      </w:r>
      <w:r w:rsidR="00EC598A">
        <w:rPr>
          <w:rFonts w:cs="Arial"/>
          <w:b/>
          <w:sz w:val="24"/>
          <w:szCs w:val="24"/>
          <w:lang w:val="en-US" w:eastAsia="en-US"/>
        </w:rPr>
        <w:t xml:space="preserve"> </w:t>
      </w:r>
      <w:r w:rsidR="000937A1">
        <w:rPr>
          <w:rFonts w:cs="Arial"/>
          <w:b/>
          <w:sz w:val="24"/>
          <w:szCs w:val="24"/>
          <w:lang w:val="en-US" w:eastAsia="en-US"/>
        </w:rPr>
        <w:tab/>
      </w:r>
      <w:r w:rsidR="000937A1">
        <w:rPr>
          <w:rFonts w:cs="Arial"/>
          <w:b/>
          <w:sz w:val="24"/>
          <w:szCs w:val="24"/>
          <w:lang w:val="en-US" w:eastAsia="en-US"/>
        </w:rPr>
        <w:tab/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DF0F83" w:rsidRPr="004D2249" w:rsidRDefault="00EC598A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1</w:t>
      </w:r>
      <w:r w:rsidR="00D87C2E">
        <w:rPr>
          <w:rFonts w:eastAsia="Calibri" w:cs="Arial"/>
          <w:b/>
          <w:bCs/>
          <w:sz w:val="24"/>
          <w:szCs w:val="24"/>
          <w:lang w:val="af-ZA" w:eastAsia="en-US"/>
        </w:rPr>
        <w:t>3</w:t>
      </w:r>
      <w:r w:rsidR="00B0146F">
        <w:rPr>
          <w:rFonts w:eastAsia="Calibri" w:cs="Arial"/>
          <w:b/>
          <w:bCs/>
          <w:sz w:val="24"/>
          <w:szCs w:val="24"/>
          <w:lang w:val="af-ZA" w:eastAsia="en-US"/>
        </w:rPr>
        <w:t>36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5067C0" w:rsidRPr="005067C0">
        <w:rPr>
          <w:rFonts w:eastAsia="Calibri" w:cs="Arial"/>
          <w:b/>
          <w:sz w:val="24"/>
          <w:szCs w:val="24"/>
          <w:lang w:eastAsia="en-US"/>
        </w:rPr>
        <w:t>Dr M J Figg (DA)</w:t>
      </w:r>
      <w:r w:rsidR="00E25E47" w:rsidRPr="00E25E47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CD7226" w:rsidRPr="000937A1" w:rsidRDefault="00CD7226" w:rsidP="000937A1">
      <w:pPr>
        <w:spacing w:line="300" w:lineRule="auto"/>
        <w:outlineLvl w:val="0"/>
        <w:rPr>
          <w:rFonts w:eastAsia="Calibri" w:cs="Arial"/>
          <w:sz w:val="24"/>
          <w:szCs w:val="24"/>
          <w:lang w:eastAsia="en-US"/>
        </w:rPr>
      </w:pPr>
      <w:r w:rsidRPr="00CD7226">
        <w:rPr>
          <w:rFonts w:eastAsia="Calibri" w:cs="Arial"/>
          <w:sz w:val="24"/>
          <w:szCs w:val="24"/>
          <w:lang w:eastAsia="en-US"/>
        </w:rPr>
        <w:t>Whether any progress has been made on the implementation of the (a) Public Works Towards the 21st Century White Paper developed in 1997</w:t>
      </w:r>
      <w:r>
        <w:rPr>
          <w:rFonts w:eastAsia="Calibri" w:cs="Arial"/>
          <w:sz w:val="24"/>
          <w:szCs w:val="24"/>
          <w:lang w:eastAsia="en-US"/>
        </w:rPr>
        <w:t>;</w:t>
      </w:r>
      <w:r w:rsidRPr="00CD7226">
        <w:rPr>
          <w:rFonts w:eastAsia="Calibri" w:cs="Arial"/>
          <w:sz w:val="24"/>
          <w:szCs w:val="24"/>
          <w:lang w:eastAsia="en-US"/>
        </w:rPr>
        <w:t xml:space="preserve"> and (b) Creating an Enabling Environment for Reconstruction, Growth and Development in the Construction Industry in 1999; if not, in each case, why not; if so, what are the relevant details in each case?</w:t>
      </w:r>
      <w:r w:rsidRPr="00CD7226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="000937A1">
        <w:rPr>
          <w:rFonts w:eastAsia="Calibri" w:cs="Arial"/>
          <w:sz w:val="24"/>
          <w:szCs w:val="24"/>
          <w:lang w:eastAsia="en-US"/>
        </w:rPr>
        <w:tab/>
      </w:r>
      <w:r w:rsidR="000937A1">
        <w:rPr>
          <w:rFonts w:eastAsia="Calibri" w:cs="Arial"/>
          <w:sz w:val="24"/>
          <w:szCs w:val="24"/>
          <w:lang w:eastAsia="en-US"/>
        </w:rPr>
        <w:tab/>
      </w:r>
      <w:r w:rsidR="000937A1">
        <w:rPr>
          <w:rFonts w:eastAsia="Calibri" w:cs="Arial"/>
          <w:sz w:val="24"/>
          <w:szCs w:val="24"/>
          <w:lang w:eastAsia="en-US"/>
        </w:rPr>
        <w:tab/>
      </w:r>
      <w:r w:rsidR="000937A1">
        <w:rPr>
          <w:rFonts w:eastAsia="Calibri" w:cs="Arial"/>
          <w:sz w:val="24"/>
          <w:szCs w:val="24"/>
          <w:lang w:eastAsia="en-US"/>
        </w:rPr>
        <w:tab/>
      </w:r>
      <w:r w:rsidR="000937A1">
        <w:rPr>
          <w:rFonts w:eastAsia="Calibri" w:cs="Arial"/>
          <w:sz w:val="24"/>
          <w:szCs w:val="24"/>
          <w:lang w:eastAsia="en-US"/>
        </w:rPr>
        <w:tab/>
      </w:r>
      <w:r w:rsidR="000937A1">
        <w:rPr>
          <w:rFonts w:eastAsia="Calibri" w:cs="Arial"/>
          <w:sz w:val="24"/>
          <w:szCs w:val="24"/>
          <w:lang w:eastAsia="en-US"/>
        </w:rPr>
        <w:tab/>
      </w:r>
      <w:r w:rsidR="000937A1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0937A1">
        <w:rPr>
          <w:rFonts w:eastAsia="Calibri" w:cs="Arial"/>
          <w:b/>
          <w:sz w:val="20"/>
          <w:lang w:eastAsia="en-US"/>
        </w:rPr>
        <w:t>NW1436E</w:t>
      </w:r>
    </w:p>
    <w:p w:rsidR="004D2F24" w:rsidRPr="001C6CA1" w:rsidRDefault="000108DB" w:rsidP="000937A1">
      <w:pPr>
        <w:spacing w:line="300" w:lineRule="auto"/>
        <w:ind w:left="709" w:hanging="649"/>
        <w:outlineLvl w:val="0"/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____________________</w:t>
      </w:r>
      <w:r w:rsidR="004D2F24" w:rsidRPr="001C6CA1">
        <w:rPr>
          <w:rFonts w:cs="Arial"/>
          <w:b/>
          <w:szCs w:val="22"/>
          <w:lang w:eastAsia="en-US"/>
        </w:rPr>
        <w:t>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>
        <w:rPr>
          <w:rFonts w:cs="Arial"/>
          <w:b/>
          <w:szCs w:val="22"/>
          <w:lang w:eastAsia="en-US"/>
        </w:rPr>
        <w:t>___</w:t>
      </w:r>
      <w:r w:rsidR="005067C0">
        <w:rPr>
          <w:rFonts w:cs="Arial"/>
          <w:b/>
          <w:szCs w:val="22"/>
          <w:lang w:eastAsia="en-US"/>
        </w:rPr>
        <w:t>__</w:t>
      </w:r>
    </w:p>
    <w:p w:rsidR="00173F8E" w:rsidRDefault="00173F8E" w:rsidP="000937A1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0937A1" w:rsidRDefault="000937A1" w:rsidP="000937A1">
      <w:pPr>
        <w:spacing w:line="300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0937A1" w:rsidRDefault="000937A1" w:rsidP="000937A1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4D2F24" w:rsidRDefault="00B44E3D" w:rsidP="000937A1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0937A1">
        <w:rPr>
          <w:rFonts w:cs="Arial"/>
          <w:b/>
          <w:sz w:val="24"/>
          <w:szCs w:val="24"/>
          <w:lang w:eastAsia="en-US"/>
        </w:rPr>
        <w:t>REPLY</w:t>
      </w:r>
      <w:r w:rsidR="000937A1">
        <w:rPr>
          <w:rFonts w:cs="Arial"/>
          <w:b/>
          <w:sz w:val="24"/>
          <w:szCs w:val="24"/>
          <w:lang w:eastAsia="en-US"/>
        </w:rPr>
        <w:t>:</w:t>
      </w:r>
    </w:p>
    <w:p w:rsidR="006C7A8E" w:rsidRDefault="006C7A8E" w:rsidP="000937A1">
      <w:pPr>
        <w:spacing w:line="300" w:lineRule="auto"/>
        <w:rPr>
          <w:rFonts w:cs="Arial"/>
          <w:b/>
          <w:sz w:val="24"/>
          <w:szCs w:val="24"/>
          <w:lang w:eastAsia="en-US"/>
        </w:rPr>
        <w:sectPr w:rsidR="006C7A8E" w:rsidSect="00FB799D">
          <w:headerReference w:type="default" r:id="rId10"/>
          <w:footerReference w:type="default" r:id="rId11"/>
          <w:type w:val="continuous"/>
          <w:pgSz w:w="12240" w:h="15840"/>
          <w:pgMar w:top="851" w:right="1077" w:bottom="907" w:left="1349" w:header="397" w:footer="624" w:gutter="0"/>
          <w:cols w:space="720"/>
          <w:docGrid w:linePitch="360"/>
        </w:sectPr>
      </w:pPr>
    </w:p>
    <w:p w:rsidR="00460B71" w:rsidRDefault="00460B71" w:rsidP="000937A1">
      <w:pPr>
        <w:spacing w:line="300" w:lineRule="auto"/>
        <w:jc w:val="left"/>
        <w:rPr>
          <w:rFonts w:cs="Arial"/>
          <w:b/>
          <w:sz w:val="24"/>
          <w:szCs w:val="24"/>
          <w:lang w:eastAsia="en-US"/>
        </w:rPr>
      </w:pPr>
    </w:p>
    <w:p w:rsidR="00AF1FD9" w:rsidRPr="00460B71" w:rsidRDefault="000937A1" w:rsidP="000937A1">
      <w:pPr>
        <w:pStyle w:val="ListParagraph"/>
        <w:numPr>
          <w:ilvl w:val="0"/>
          <w:numId w:val="4"/>
        </w:numPr>
        <w:tabs>
          <w:tab w:val="left" w:pos="360"/>
        </w:tabs>
        <w:spacing w:line="300" w:lineRule="auto"/>
        <w:ind w:left="270" w:hanging="270"/>
        <w:jc w:val="left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and </w:t>
      </w:r>
      <w:r w:rsidR="00460B71">
        <w:rPr>
          <w:rFonts w:cs="Arial"/>
          <w:sz w:val="24"/>
          <w:szCs w:val="24"/>
          <w:lang w:eastAsia="en-US"/>
        </w:rPr>
        <w:t>(b) Yes,</w:t>
      </w:r>
    </w:p>
    <w:p w:rsidR="00A40142" w:rsidRPr="00FB799D" w:rsidRDefault="00A40142" w:rsidP="000937A1">
      <w:pPr>
        <w:spacing w:line="300" w:lineRule="auto"/>
        <w:rPr>
          <w:rFonts w:cs="Arial"/>
          <w:sz w:val="24"/>
          <w:szCs w:val="24"/>
          <w:lang w:eastAsia="en-US"/>
        </w:rPr>
      </w:pPr>
    </w:p>
    <w:p w:rsidR="00FB799D" w:rsidRPr="00460B71" w:rsidRDefault="00FB799D" w:rsidP="000937A1">
      <w:pPr>
        <w:spacing w:line="300" w:lineRule="auto"/>
        <w:rPr>
          <w:rFonts w:cs="Arial"/>
          <w:b/>
          <w:sz w:val="24"/>
          <w:szCs w:val="24"/>
        </w:rPr>
      </w:pPr>
      <w:r w:rsidRPr="00FB799D">
        <w:rPr>
          <w:rFonts w:cs="Arial"/>
          <w:b/>
          <w:sz w:val="24"/>
          <w:szCs w:val="24"/>
        </w:rPr>
        <w:t>Overview Progress Report on the Implementation of the 1997 and 1999 Public Works White Papers</w:t>
      </w:r>
      <w:r w:rsidR="00460B71">
        <w:rPr>
          <w:rFonts w:cs="Arial"/>
          <w:b/>
          <w:sz w:val="24"/>
          <w:szCs w:val="24"/>
        </w:rPr>
        <w:t xml:space="preserve"> can be summarised as follows:</w:t>
      </w:r>
    </w:p>
    <w:p w:rsidR="00460B71" w:rsidRDefault="000937A1" w:rsidP="000937A1">
      <w:pPr>
        <w:suppressAutoHyphens/>
        <w:autoSpaceDN w:val="0"/>
        <w:spacing w:before="360" w:line="300" w:lineRule="auto"/>
        <w:jc w:val="left"/>
        <w:textAlignment w:val="baseline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Construction S</w:t>
      </w:r>
      <w:r w:rsidR="00FB799D" w:rsidRPr="00FB799D">
        <w:rPr>
          <w:rFonts w:cs="Arial"/>
          <w:b/>
          <w:sz w:val="24"/>
          <w:szCs w:val="24"/>
        </w:rPr>
        <w:t>ector</w:t>
      </w:r>
      <w:r w:rsidR="00FB799D" w:rsidRPr="00FB799D">
        <w:rPr>
          <w:rFonts w:cs="Arial"/>
          <w:sz w:val="24"/>
          <w:szCs w:val="24"/>
        </w:rPr>
        <w:t xml:space="preserve"> </w:t>
      </w:r>
    </w:p>
    <w:p w:rsidR="00FB799D" w:rsidRPr="00460B71" w:rsidRDefault="00FB799D" w:rsidP="000937A1">
      <w:pPr>
        <w:suppressAutoHyphens/>
        <w:autoSpaceDN w:val="0"/>
        <w:spacing w:before="360" w:line="300" w:lineRule="auto"/>
        <w:textAlignment w:val="baseline"/>
        <w:rPr>
          <w:rFonts w:cs="Arial"/>
          <w:sz w:val="24"/>
          <w:szCs w:val="24"/>
        </w:rPr>
      </w:pPr>
      <w:r w:rsidRPr="00FB799D">
        <w:rPr>
          <w:rFonts w:cs="Arial"/>
          <w:color w:val="000000" w:themeColor="text1"/>
          <w:sz w:val="24"/>
          <w:szCs w:val="24"/>
        </w:rPr>
        <w:t xml:space="preserve">Since the adoption of the 1997 and 1999 Public Works White Papers respectively the Department </w:t>
      </w:r>
      <w:r w:rsidR="000937A1">
        <w:rPr>
          <w:rFonts w:cs="Arial"/>
          <w:color w:val="000000" w:themeColor="text1"/>
          <w:sz w:val="24"/>
          <w:szCs w:val="24"/>
        </w:rPr>
        <w:t xml:space="preserve">of Public Works </w:t>
      </w:r>
      <w:r w:rsidR="002D5208">
        <w:rPr>
          <w:rFonts w:cs="Arial"/>
          <w:color w:val="000000" w:themeColor="text1"/>
          <w:sz w:val="24"/>
          <w:szCs w:val="24"/>
        </w:rPr>
        <w:t xml:space="preserve">(DPW) </w:t>
      </w:r>
      <w:r w:rsidRPr="00FB799D">
        <w:rPr>
          <w:rFonts w:cs="Arial"/>
          <w:color w:val="000000" w:themeColor="text1"/>
          <w:sz w:val="24"/>
          <w:szCs w:val="24"/>
        </w:rPr>
        <w:t xml:space="preserve">led a process that culminated in the </w:t>
      </w:r>
      <w:r w:rsidR="000937A1">
        <w:rPr>
          <w:rFonts w:cs="Arial"/>
          <w:color w:val="000000" w:themeColor="text1"/>
          <w:sz w:val="24"/>
          <w:szCs w:val="24"/>
        </w:rPr>
        <w:t>Construction Industry Development Board (</w:t>
      </w:r>
      <w:r w:rsidRPr="00FB799D">
        <w:rPr>
          <w:rFonts w:cs="Arial"/>
          <w:color w:val="000000" w:themeColor="text1"/>
          <w:sz w:val="24"/>
          <w:szCs w:val="24"/>
        </w:rPr>
        <w:t>CIDB</w:t>
      </w:r>
      <w:r w:rsidR="000937A1">
        <w:rPr>
          <w:rFonts w:cs="Arial"/>
          <w:color w:val="000000" w:themeColor="text1"/>
          <w:sz w:val="24"/>
          <w:szCs w:val="24"/>
        </w:rPr>
        <w:t>)</w:t>
      </w:r>
      <w:r w:rsidRPr="00FB799D">
        <w:rPr>
          <w:rFonts w:cs="Arial"/>
          <w:color w:val="000000" w:themeColor="text1"/>
          <w:sz w:val="24"/>
          <w:szCs w:val="24"/>
        </w:rPr>
        <w:t xml:space="preserve"> and </w:t>
      </w:r>
      <w:r w:rsidR="000937A1">
        <w:rPr>
          <w:rFonts w:cs="Arial"/>
          <w:color w:val="000000" w:themeColor="text1"/>
          <w:sz w:val="24"/>
          <w:szCs w:val="24"/>
        </w:rPr>
        <w:t>the Council for the Built Environment (</w:t>
      </w:r>
      <w:r w:rsidRPr="00FB799D">
        <w:rPr>
          <w:rFonts w:cs="Arial"/>
          <w:color w:val="000000" w:themeColor="text1"/>
          <w:sz w:val="24"/>
          <w:szCs w:val="24"/>
        </w:rPr>
        <w:t>CBE</w:t>
      </w:r>
      <w:r w:rsidR="000937A1">
        <w:rPr>
          <w:rFonts w:cs="Arial"/>
          <w:color w:val="000000" w:themeColor="text1"/>
          <w:sz w:val="24"/>
          <w:szCs w:val="24"/>
        </w:rPr>
        <w:t>)</w:t>
      </w:r>
      <w:r w:rsidRPr="00FB799D">
        <w:rPr>
          <w:rFonts w:cs="Arial"/>
          <w:color w:val="000000" w:themeColor="text1"/>
          <w:sz w:val="24"/>
          <w:szCs w:val="24"/>
        </w:rPr>
        <w:t xml:space="preserve"> Acts</w:t>
      </w:r>
      <w:r w:rsidR="0006107A">
        <w:rPr>
          <w:rFonts w:cs="Arial"/>
          <w:color w:val="000000" w:themeColor="text1"/>
          <w:sz w:val="24"/>
          <w:szCs w:val="24"/>
        </w:rPr>
        <w:t xml:space="preserve"> of </w:t>
      </w:r>
      <w:r w:rsidR="0006107A">
        <w:rPr>
          <w:rFonts w:cs="Arial"/>
          <w:color w:val="000000" w:themeColor="text1"/>
          <w:sz w:val="24"/>
          <w:szCs w:val="24"/>
        </w:rPr>
        <w:lastRenderedPageBreak/>
        <w:t>Parliament</w:t>
      </w:r>
      <w:r w:rsidRPr="00FB799D">
        <w:rPr>
          <w:rFonts w:cs="Arial"/>
          <w:color w:val="000000" w:themeColor="text1"/>
          <w:sz w:val="24"/>
          <w:szCs w:val="24"/>
        </w:rPr>
        <w:t xml:space="preserve">, </w:t>
      </w:r>
      <w:r w:rsidR="000937A1">
        <w:rPr>
          <w:rFonts w:cs="Arial"/>
          <w:color w:val="000000" w:themeColor="text1"/>
          <w:sz w:val="24"/>
          <w:szCs w:val="24"/>
        </w:rPr>
        <w:t xml:space="preserve">as well as </w:t>
      </w:r>
      <w:r w:rsidRPr="00FB799D">
        <w:rPr>
          <w:rFonts w:cs="Arial"/>
          <w:color w:val="000000" w:themeColor="text1"/>
          <w:sz w:val="24"/>
          <w:szCs w:val="24"/>
        </w:rPr>
        <w:t xml:space="preserve">the Construction Sector Charter and Codes. The Department is currently in the process of reviewing the cited Acts. </w:t>
      </w:r>
    </w:p>
    <w:p w:rsidR="00FB799D" w:rsidRPr="00FB799D" w:rsidRDefault="00FB799D" w:rsidP="000937A1">
      <w:pPr>
        <w:suppressAutoHyphens/>
        <w:autoSpaceDN w:val="0"/>
        <w:spacing w:before="240" w:after="120" w:line="300" w:lineRule="auto"/>
        <w:textAlignment w:val="baseline"/>
        <w:rPr>
          <w:rFonts w:cs="Arial"/>
          <w:color w:val="000000" w:themeColor="text1"/>
          <w:sz w:val="24"/>
          <w:szCs w:val="24"/>
        </w:rPr>
      </w:pPr>
      <w:r w:rsidRPr="00FB799D">
        <w:rPr>
          <w:rFonts w:cs="Arial"/>
          <w:color w:val="000000" w:themeColor="text1"/>
          <w:sz w:val="24"/>
          <w:szCs w:val="24"/>
        </w:rPr>
        <w:t>The Emerging Contractor Development Programme is a key intervention that has been implemented. This has enabled participation of black owned small and medium enterprises in the construction sector. However</w:t>
      </w:r>
      <w:r w:rsidR="002D5208">
        <w:rPr>
          <w:rFonts w:cs="Arial"/>
          <w:color w:val="000000" w:themeColor="text1"/>
          <w:sz w:val="24"/>
          <w:szCs w:val="24"/>
        </w:rPr>
        <w:t>,</w:t>
      </w:r>
      <w:r w:rsidRPr="00FB799D">
        <w:rPr>
          <w:rFonts w:cs="Arial"/>
          <w:color w:val="000000" w:themeColor="text1"/>
          <w:sz w:val="24"/>
          <w:szCs w:val="24"/>
        </w:rPr>
        <w:t xml:space="preserve"> there is still room for improvement to deepen transformation in the sector. Opportunities availed to these enterprises through set-asides have afforded these business entities </w:t>
      </w:r>
      <w:r w:rsidR="0006107A">
        <w:rPr>
          <w:rFonts w:cs="Arial"/>
          <w:color w:val="000000" w:themeColor="text1"/>
          <w:sz w:val="24"/>
          <w:szCs w:val="24"/>
        </w:rPr>
        <w:t xml:space="preserve">opportunities </w:t>
      </w:r>
      <w:r w:rsidRPr="00FB799D">
        <w:rPr>
          <w:rFonts w:cs="Arial"/>
          <w:color w:val="000000" w:themeColor="text1"/>
          <w:sz w:val="24"/>
          <w:szCs w:val="24"/>
        </w:rPr>
        <w:t>to gain skills and knowledge</w:t>
      </w:r>
      <w:r w:rsidR="002D5208">
        <w:rPr>
          <w:rFonts w:cs="Arial"/>
          <w:color w:val="000000" w:themeColor="text1"/>
          <w:sz w:val="24"/>
          <w:szCs w:val="24"/>
        </w:rPr>
        <w:t>,</w:t>
      </w:r>
      <w:r w:rsidRPr="00FB799D">
        <w:rPr>
          <w:rFonts w:cs="Arial"/>
          <w:color w:val="000000" w:themeColor="text1"/>
          <w:sz w:val="24"/>
          <w:szCs w:val="24"/>
        </w:rPr>
        <w:t xml:space="preserve"> as well as expand their asset-base. </w:t>
      </w:r>
    </w:p>
    <w:p w:rsidR="00FB799D" w:rsidRPr="00FB799D" w:rsidRDefault="00FB799D" w:rsidP="000937A1">
      <w:pPr>
        <w:suppressAutoHyphens/>
        <w:autoSpaceDN w:val="0"/>
        <w:spacing w:before="360" w:line="300" w:lineRule="auto"/>
        <w:jc w:val="left"/>
        <w:textAlignment w:val="baseline"/>
        <w:rPr>
          <w:rFonts w:cs="Arial"/>
          <w:b/>
          <w:sz w:val="24"/>
          <w:szCs w:val="24"/>
        </w:rPr>
      </w:pPr>
      <w:r w:rsidRPr="00FB799D">
        <w:rPr>
          <w:rFonts w:cs="Arial"/>
          <w:b/>
          <w:sz w:val="24"/>
          <w:szCs w:val="24"/>
        </w:rPr>
        <w:t>Pr</w:t>
      </w:r>
      <w:r w:rsidR="002D5208">
        <w:rPr>
          <w:rFonts w:cs="Arial"/>
          <w:b/>
          <w:sz w:val="24"/>
          <w:szCs w:val="24"/>
        </w:rPr>
        <w:t>operty S</w:t>
      </w:r>
      <w:r w:rsidRPr="00FB799D">
        <w:rPr>
          <w:rFonts w:cs="Arial"/>
          <w:b/>
          <w:sz w:val="24"/>
          <w:szCs w:val="24"/>
        </w:rPr>
        <w:t xml:space="preserve">ector </w:t>
      </w:r>
    </w:p>
    <w:p w:rsidR="00FB799D" w:rsidRPr="00FB799D" w:rsidRDefault="00FB799D" w:rsidP="000937A1">
      <w:pPr>
        <w:spacing w:before="240" w:after="120" w:line="300" w:lineRule="auto"/>
        <w:rPr>
          <w:rFonts w:cs="Arial"/>
          <w:sz w:val="24"/>
          <w:szCs w:val="24"/>
        </w:rPr>
      </w:pPr>
      <w:r w:rsidRPr="00FB799D">
        <w:rPr>
          <w:rFonts w:cs="Arial"/>
          <w:sz w:val="24"/>
          <w:szCs w:val="24"/>
        </w:rPr>
        <w:t>The State has been beset with a number of intertwined challenges in respect of the management and administration of its immovable property portfolio. To provide a uniform framework and ensure coordination in the management of immovable assets the Government Immovable Assets Management Act</w:t>
      </w:r>
      <w:r w:rsidR="002D5208">
        <w:rPr>
          <w:rFonts w:cs="Arial"/>
          <w:sz w:val="24"/>
          <w:szCs w:val="24"/>
        </w:rPr>
        <w:t>, 2007</w:t>
      </w:r>
      <w:r w:rsidRPr="00FB799D">
        <w:rPr>
          <w:rFonts w:cs="Arial"/>
          <w:sz w:val="24"/>
          <w:szCs w:val="24"/>
        </w:rPr>
        <w:t xml:space="preserve"> (GIAMA)</w:t>
      </w:r>
      <w:r w:rsidR="002D5208">
        <w:rPr>
          <w:rFonts w:cs="Arial"/>
          <w:sz w:val="24"/>
          <w:szCs w:val="24"/>
        </w:rPr>
        <w:t xml:space="preserve"> [Act No. 19 of 2007]</w:t>
      </w:r>
      <w:r w:rsidRPr="00FB799D">
        <w:rPr>
          <w:rFonts w:cs="Arial"/>
          <w:sz w:val="24"/>
          <w:szCs w:val="24"/>
        </w:rPr>
        <w:t xml:space="preserve"> was enacted. The process of institutionalisation of the Act started immediately thereafter and continuous monitoring is being undertaken. </w:t>
      </w:r>
    </w:p>
    <w:p w:rsidR="00C72312" w:rsidRDefault="000B685A" w:rsidP="000937A1">
      <w:pPr>
        <w:spacing w:before="240" w:after="120" w:line="30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</w:t>
      </w:r>
      <w:r w:rsidR="002D5208">
        <w:rPr>
          <w:rFonts w:cs="Arial"/>
          <w:sz w:val="24"/>
          <w:szCs w:val="24"/>
        </w:rPr>
        <w:t>an endeavour to enhance</w:t>
      </w:r>
      <w:r w:rsidR="000E3CE4">
        <w:rPr>
          <w:rFonts w:cs="Arial"/>
          <w:sz w:val="24"/>
          <w:szCs w:val="24"/>
        </w:rPr>
        <w:t xml:space="preserve"> implementation of GIAMA, the Department </w:t>
      </w:r>
      <w:r w:rsidR="007B3435">
        <w:rPr>
          <w:rFonts w:cs="Arial"/>
          <w:sz w:val="24"/>
          <w:szCs w:val="24"/>
        </w:rPr>
        <w:t xml:space="preserve">of Public Works </w:t>
      </w:r>
      <w:bookmarkStart w:id="0" w:name="_GoBack"/>
      <w:bookmarkEnd w:id="0"/>
      <w:r w:rsidR="000E3CE4">
        <w:rPr>
          <w:rFonts w:cs="Arial"/>
          <w:sz w:val="24"/>
          <w:szCs w:val="24"/>
        </w:rPr>
        <w:t>embarked on a programme to produce a complete and Generally Recognised Accounting Practice (GRAP) compliant Immova</w:t>
      </w:r>
      <w:r w:rsidR="002D5208">
        <w:rPr>
          <w:rFonts w:cs="Arial"/>
          <w:sz w:val="24"/>
          <w:szCs w:val="24"/>
        </w:rPr>
        <w:t>ble Asset Register (IAR)</w:t>
      </w:r>
      <w:r w:rsidR="000E3CE4">
        <w:rPr>
          <w:rFonts w:cs="Arial"/>
          <w:sz w:val="24"/>
          <w:szCs w:val="24"/>
        </w:rPr>
        <w:t xml:space="preserve">.  </w:t>
      </w:r>
      <w:r w:rsidR="00FB799D" w:rsidRPr="00FB799D">
        <w:rPr>
          <w:rFonts w:cs="Arial"/>
          <w:sz w:val="24"/>
          <w:szCs w:val="24"/>
        </w:rPr>
        <w:t xml:space="preserve">The </w:t>
      </w:r>
      <w:r w:rsidR="000E3CE4">
        <w:rPr>
          <w:rFonts w:cs="Arial"/>
          <w:sz w:val="24"/>
          <w:szCs w:val="24"/>
        </w:rPr>
        <w:t xml:space="preserve">IAR enhancement programme was successfully completed in </w:t>
      </w:r>
      <w:r w:rsidR="002D5208">
        <w:rPr>
          <w:rFonts w:cs="Arial"/>
          <w:sz w:val="24"/>
          <w:szCs w:val="24"/>
        </w:rPr>
        <w:t xml:space="preserve">the </w:t>
      </w:r>
      <w:r w:rsidR="000E3CE4">
        <w:rPr>
          <w:rFonts w:cs="Arial"/>
          <w:sz w:val="24"/>
          <w:szCs w:val="24"/>
        </w:rPr>
        <w:t>2015/16 financial year.</w:t>
      </w:r>
      <w:r w:rsidR="00FB799D" w:rsidRPr="00FB799D">
        <w:rPr>
          <w:rFonts w:cs="Arial"/>
          <w:sz w:val="24"/>
          <w:szCs w:val="24"/>
        </w:rPr>
        <w:t xml:space="preserve"> </w:t>
      </w:r>
    </w:p>
    <w:p w:rsidR="00FB799D" w:rsidRPr="00FB799D" w:rsidRDefault="00FB799D" w:rsidP="000937A1">
      <w:pPr>
        <w:spacing w:before="240" w:after="120" w:line="300" w:lineRule="auto"/>
        <w:rPr>
          <w:rFonts w:cs="Arial"/>
          <w:sz w:val="24"/>
          <w:szCs w:val="24"/>
        </w:rPr>
      </w:pPr>
      <w:r w:rsidRPr="00FB799D">
        <w:rPr>
          <w:rFonts w:cs="Arial"/>
          <w:sz w:val="24"/>
          <w:szCs w:val="24"/>
        </w:rPr>
        <w:t xml:space="preserve">The </w:t>
      </w:r>
      <w:r w:rsidR="000E3CE4">
        <w:rPr>
          <w:rFonts w:cs="Arial"/>
          <w:sz w:val="24"/>
          <w:szCs w:val="24"/>
        </w:rPr>
        <w:t>IA</w:t>
      </w:r>
      <w:r w:rsidRPr="00FB799D">
        <w:rPr>
          <w:rFonts w:cs="Arial"/>
          <w:sz w:val="24"/>
          <w:szCs w:val="24"/>
        </w:rPr>
        <w:t xml:space="preserve">R is a critical mechanism that enables the State to have accurate, up-to-date and comprehensive information on its immovable assets. </w:t>
      </w:r>
    </w:p>
    <w:p w:rsidR="00FB799D" w:rsidRDefault="00FB799D" w:rsidP="000937A1">
      <w:pPr>
        <w:spacing w:before="240" w:after="120" w:line="300" w:lineRule="auto"/>
        <w:rPr>
          <w:rFonts w:cs="Arial"/>
          <w:color w:val="000000" w:themeColor="text1"/>
          <w:sz w:val="24"/>
          <w:szCs w:val="24"/>
        </w:rPr>
      </w:pPr>
      <w:r w:rsidRPr="00FB799D">
        <w:rPr>
          <w:rFonts w:cs="Arial"/>
          <w:color w:val="000000" w:themeColor="text1"/>
          <w:sz w:val="24"/>
          <w:szCs w:val="24"/>
        </w:rPr>
        <w:t>One of the challenges identified through the operational Policy Framework was the lack of a pre-eminent property and facilities management hub for the State. In September 2014 Cabinet approved the establishment of the Property Management Trading Entity (PMTE). The Entity is primarily charge</w:t>
      </w:r>
      <w:r w:rsidR="002D5208">
        <w:rPr>
          <w:rFonts w:cs="Arial"/>
          <w:color w:val="000000" w:themeColor="text1"/>
          <w:sz w:val="24"/>
          <w:szCs w:val="24"/>
        </w:rPr>
        <w:t>d with the management of State p</w:t>
      </w:r>
      <w:r w:rsidRPr="00FB799D">
        <w:rPr>
          <w:rFonts w:cs="Arial"/>
          <w:color w:val="000000" w:themeColor="text1"/>
          <w:sz w:val="24"/>
          <w:szCs w:val="24"/>
        </w:rPr>
        <w:t>roperties.</w:t>
      </w:r>
      <w:r w:rsidR="00E54D1B">
        <w:rPr>
          <w:rFonts w:cs="Arial"/>
          <w:color w:val="000000" w:themeColor="text1"/>
          <w:sz w:val="24"/>
          <w:szCs w:val="24"/>
        </w:rPr>
        <w:t xml:space="preserve">  We are currently in the process of operationalizing the PMTE.</w:t>
      </w:r>
    </w:p>
    <w:p w:rsidR="00460B71" w:rsidRDefault="00460B71" w:rsidP="000937A1">
      <w:pPr>
        <w:suppressAutoHyphens/>
        <w:autoSpaceDN w:val="0"/>
        <w:spacing w:line="300" w:lineRule="auto"/>
        <w:jc w:val="left"/>
        <w:textAlignment w:val="baseline"/>
        <w:rPr>
          <w:rFonts w:cs="Arial"/>
          <w:b/>
          <w:color w:val="000000" w:themeColor="text1"/>
          <w:sz w:val="24"/>
          <w:szCs w:val="24"/>
        </w:rPr>
      </w:pPr>
    </w:p>
    <w:p w:rsidR="00460B71" w:rsidRPr="00FB799D" w:rsidRDefault="00460B71" w:rsidP="000937A1">
      <w:pPr>
        <w:suppressAutoHyphens/>
        <w:autoSpaceDN w:val="0"/>
        <w:spacing w:line="300" w:lineRule="auto"/>
        <w:jc w:val="left"/>
        <w:textAlignment w:val="baseline"/>
        <w:rPr>
          <w:rFonts w:cs="Arial"/>
          <w:b/>
          <w:color w:val="000000" w:themeColor="text1"/>
          <w:sz w:val="24"/>
          <w:szCs w:val="24"/>
        </w:rPr>
      </w:pPr>
      <w:r w:rsidRPr="00FB799D">
        <w:rPr>
          <w:rFonts w:cs="Arial"/>
          <w:b/>
          <w:color w:val="000000" w:themeColor="text1"/>
          <w:sz w:val="24"/>
          <w:szCs w:val="24"/>
        </w:rPr>
        <w:t>Public Employment/Works Programmes</w:t>
      </w:r>
    </w:p>
    <w:p w:rsidR="00460B71" w:rsidRPr="00FB799D" w:rsidRDefault="00460B71" w:rsidP="000937A1">
      <w:pPr>
        <w:suppressAutoHyphens/>
        <w:autoSpaceDN w:val="0"/>
        <w:spacing w:before="240" w:after="120" w:line="300" w:lineRule="auto"/>
        <w:textAlignment w:val="baseline"/>
        <w:rPr>
          <w:rFonts w:cs="Arial"/>
          <w:color w:val="000000" w:themeColor="text1"/>
          <w:sz w:val="24"/>
          <w:szCs w:val="24"/>
        </w:rPr>
      </w:pPr>
      <w:r w:rsidRPr="00FB799D">
        <w:rPr>
          <w:rFonts w:cs="Arial"/>
          <w:color w:val="000000" w:themeColor="text1"/>
          <w:sz w:val="24"/>
          <w:szCs w:val="24"/>
        </w:rPr>
        <w:t xml:space="preserve">The Expanded Public Works Programme (EPWP) is in its third phase, having been </w:t>
      </w:r>
      <w:r w:rsidR="002D5208">
        <w:rPr>
          <w:rFonts w:cs="Arial"/>
          <w:color w:val="000000" w:themeColor="text1"/>
          <w:sz w:val="24"/>
          <w:szCs w:val="24"/>
        </w:rPr>
        <w:t xml:space="preserve">formally </w:t>
      </w:r>
      <w:r w:rsidRPr="00FB799D">
        <w:rPr>
          <w:rFonts w:cs="Arial"/>
          <w:color w:val="000000" w:themeColor="text1"/>
          <w:sz w:val="24"/>
          <w:szCs w:val="24"/>
        </w:rPr>
        <w:t xml:space="preserve">launched in 2004.  </w:t>
      </w:r>
      <w:r w:rsidR="002D5208">
        <w:rPr>
          <w:rFonts w:cs="Arial"/>
          <w:color w:val="000000" w:themeColor="text1"/>
          <w:sz w:val="24"/>
          <w:szCs w:val="24"/>
        </w:rPr>
        <w:t xml:space="preserve">The </w:t>
      </w:r>
      <w:r w:rsidRPr="00FB799D">
        <w:rPr>
          <w:rFonts w:cs="Arial"/>
          <w:color w:val="000000" w:themeColor="text1"/>
          <w:sz w:val="24"/>
          <w:szCs w:val="24"/>
        </w:rPr>
        <w:t>EPWP Strategy and EPWP Guidelines for implementation have been developed to give direction towards the implementation of the intervention.</w:t>
      </w:r>
    </w:p>
    <w:p w:rsidR="00460B71" w:rsidRPr="00FB799D" w:rsidRDefault="002D5208" w:rsidP="000937A1">
      <w:pPr>
        <w:suppressAutoHyphens/>
        <w:autoSpaceDN w:val="0"/>
        <w:spacing w:before="240" w:after="120" w:line="300" w:lineRule="auto"/>
        <w:textAlignment w:val="baseline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Central to the implementation of the EPWP is the application of </w:t>
      </w:r>
      <w:r w:rsidR="00460B71" w:rsidRPr="00FB799D">
        <w:rPr>
          <w:rFonts w:cs="Arial"/>
          <w:color w:val="000000" w:themeColor="text1"/>
          <w:sz w:val="24"/>
          <w:szCs w:val="24"/>
        </w:rPr>
        <w:t>labou</w:t>
      </w:r>
      <w:r>
        <w:rPr>
          <w:rFonts w:cs="Arial"/>
          <w:color w:val="000000" w:themeColor="text1"/>
          <w:sz w:val="24"/>
          <w:szCs w:val="24"/>
        </w:rPr>
        <w:t xml:space="preserve">r intensive methods, which </w:t>
      </w:r>
      <w:r w:rsidR="00460B71" w:rsidRPr="00FB799D">
        <w:rPr>
          <w:rFonts w:cs="Arial"/>
          <w:color w:val="000000" w:themeColor="text1"/>
          <w:sz w:val="24"/>
          <w:szCs w:val="24"/>
        </w:rPr>
        <w:t>have resulted in</w:t>
      </w:r>
      <w:r>
        <w:rPr>
          <w:rFonts w:cs="Arial"/>
          <w:color w:val="000000" w:themeColor="text1"/>
          <w:sz w:val="24"/>
          <w:szCs w:val="24"/>
        </w:rPr>
        <w:t xml:space="preserve"> massive job creation, skilling and</w:t>
      </w:r>
      <w:r w:rsidR="00460B71" w:rsidRPr="00FB799D">
        <w:rPr>
          <w:rFonts w:cs="Arial"/>
          <w:color w:val="000000" w:themeColor="text1"/>
          <w:sz w:val="24"/>
          <w:szCs w:val="24"/>
        </w:rPr>
        <w:t xml:space="preserve"> community asset building. Major </w:t>
      </w:r>
      <w:r>
        <w:rPr>
          <w:rFonts w:cs="Arial"/>
          <w:color w:val="000000" w:themeColor="text1"/>
          <w:sz w:val="24"/>
          <w:szCs w:val="24"/>
        </w:rPr>
        <w:lastRenderedPageBreak/>
        <w:t xml:space="preserve">social infrastructure </w:t>
      </w:r>
      <w:r w:rsidR="00460B71" w:rsidRPr="00FB799D">
        <w:rPr>
          <w:rFonts w:cs="Arial"/>
          <w:color w:val="000000" w:themeColor="text1"/>
          <w:sz w:val="24"/>
          <w:szCs w:val="24"/>
        </w:rPr>
        <w:t>assets include police stations, schools, community halls, courts and internal access roads, amongst other</w:t>
      </w:r>
      <w:r>
        <w:rPr>
          <w:rFonts w:cs="Arial"/>
          <w:color w:val="000000" w:themeColor="text1"/>
          <w:sz w:val="24"/>
          <w:szCs w:val="24"/>
        </w:rPr>
        <w:t xml:space="preserve">s.  The </w:t>
      </w:r>
      <w:r w:rsidR="00460B71" w:rsidRPr="00FB799D">
        <w:rPr>
          <w:rFonts w:cs="Arial"/>
          <w:color w:val="000000" w:themeColor="text1"/>
          <w:sz w:val="24"/>
          <w:szCs w:val="24"/>
        </w:rPr>
        <w:t>StatsSA 2015 Quarterly H</w:t>
      </w:r>
      <w:r>
        <w:rPr>
          <w:rFonts w:cs="Arial"/>
          <w:color w:val="000000" w:themeColor="text1"/>
          <w:sz w:val="24"/>
          <w:szCs w:val="24"/>
        </w:rPr>
        <w:t>ousehold Survey</w:t>
      </w:r>
      <w:r w:rsidR="00460B71" w:rsidRPr="00FB799D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confirmed</w:t>
      </w:r>
      <w:r w:rsidR="00460B71" w:rsidRPr="00FB799D">
        <w:rPr>
          <w:rFonts w:cs="Arial"/>
          <w:color w:val="000000" w:themeColor="text1"/>
          <w:sz w:val="24"/>
          <w:szCs w:val="24"/>
        </w:rPr>
        <w:t xml:space="preserve"> that </w:t>
      </w:r>
      <w:r>
        <w:rPr>
          <w:rFonts w:cs="Arial"/>
          <w:color w:val="000000" w:themeColor="text1"/>
          <w:sz w:val="24"/>
          <w:szCs w:val="24"/>
        </w:rPr>
        <w:t xml:space="preserve">the </w:t>
      </w:r>
      <w:r w:rsidR="00460B71" w:rsidRPr="00FB799D">
        <w:rPr>
          <w:rFonts w:cs="Arial"/>
          <w:color w:val="000000" w:themeColor="text1"/>
          <w:sz w:val="24"/>
          <w:szCs w:val="24"/>
        </w:rPr>
        <w:t xml:space="preserve">EPWP has </w:t>
      </w:r>
      <w:r>
        <w:rPr>
          <w:rFonts w:cs="Arial"/>
          <w:color w:val="000000" w:themeColor="text1"/>
          <w:sz w:val="24"/>
          <w:szCs w:val="24"/>
        </w:rPr>
        <w:t>had</w:t>
      </w:r>
      <w:r w:rsidR="00460B71" w:rsidRPr="00FB799D">
        <w:rPr>
          <w:rFonts w:cs="Arial"/>
          <w:color w:val="000000" w:themeColor="text1"/>
          <w:sz w:val="24"/>
          <w:szCs w:val="24"/>
        </w:rPr>
        <w:t xml:space="preserve"> a significant impact in </w:t>
      </w:r>
      <w:r w:rsidR="00563ABC">
        <w:rPr>
          <w:rFonts w:cs="Arial"/>
          <w:color w:val="000000" w:themeColor="text1"/>
          <w:sz w:val="24"/>
          <w:szCs w:val="24"/>
        </w:rPr>
        <w:t>addressing the challenge of hunger as a result of poverty for thousands of households</w:t>
      </w:r>
      <w:r w:rsidR="00460B71" w:rsidRPr="00FB799D">
        <w:rPr>
          <w:rFonts w:cs="Arial"/>
          <w:color w:val="000000" w:themeColor="text1"/>
          <w:sz w:val="24"/>
          <w:szCs w:val="24"/>
        </w:rPr>
        <w:t xml:space="preserve">. </w:t>
      </w:r>
      <w:r w:rsidR="00563ABC">
        <w:rPr>
          <w:rFonts w:cs="Arial"/>
          <w:color w:val="000000" w:themeColor="text1"/>
          <w:sz w:val="24"/>
          <w:szCs w:val="24"/>
        </w:rPr>
        <w:t>The EPWP has been a safety net for many who struggle to find employment in</w:t>
      </w:r>
      <w:r w:rsidR="00460B71" w:rsidRPr="00FB799D">
        <w:rPr>
          <w:rFonts w:cs="Arial"/>
          <w:color w:val="000000" w:themeColor="text1"/>
          <w:sz w:val="24"/>
          <w:szCs w:val="24"/>
        </w:rPr>
        <w:t xml:space="preserve"> the mainstream economy. </w:t>
      </w:r>
      <w:r w:rsidR="00563ABC">
        <w:rPr>
          <w:rFonts w:cs="Arial"/>
          <w:color w:val="000000" w:themeColor="text1"/>
          <w:sz w:val="24"/>
          <w:szCs w:val="24"/>
        </w:rPr>
        <w:t>Moreover, to an extent, the EPWP has contributed to reducing</w:t>
      </w:r>
      <w:r w:rsidR="00460B71" w:rsidRPr="00FB799D">
        <w:rPr>
          <w:rFonts w:cs="Arial"/>
          <w:color w:val="000000" w:themeColor="text1"/>
          <w:sz w:val="24"/>
          <w:szCs w:val="24"/>
        </w:rPr>
        <w:t xml:space="preserve"> socio-economic inequalities and </w:t>
      </w:r>
      <w:r w:rsidR="00563ABC">
        <w:rPr>
          <w:rFonts w:cs="Arial"/>
          <w:color w:val="000000" w:themeColor="text1"/>
          <w:sz w:val="24"/>
          <w:szCs w:val="24"/>
        </w:rPr>
        <w:t>has had a positive effect on</w:t>
      </w:r>
      <w:r w:rsidR="00460B71" w:rsidRPr="00FB799D">
        <w:rPr>
          <w:rFonts w:cs="Arial"/>
          <w:color w:val="000000" w:themeColor="text1"/>
          <w:sz w:val="24"/>
          <w:szCs w:val="24"/>
        </w:rPr>
        <w:t xml:space="preserve"> social cohesion. </w:t>
      </w:r>
    </w:p>
    <w:p w:rsidR="00FB799D" w:rsidRPr="00FB799D" w:rsidRDefault="00FB799D" w:rsidP="000937A1">
      <w:pPr>
        <w:suppressAutoHyphens/>
        <w:autoSpaceDN w:val="0"/>
        <w:spacing w:before="360" w:after="120" w:line="300" w:lineRule="auto"/>
        <w:jc w:val="left"/>
        <w:textAlignment w:val="baseline"/>
        <w:rPr>
          <w:rFonts w:cs="Arial"/>
          <w:b/>
          <w:color w:val="000000" w:themeColor="text1"/>
          <w:sz w:val="24"/>
          <w:szCs w:val="24"/>
        </w:rPr>
      </w:pPr>
      <w:r w:rsidRPr="00FB799D">
        <w:rPr>
          <w:rFonts w:cs="Arial"/>
          <w:b/>
          <w:color w:val="000000" w:themeColor="text1"/>
          <w:sz w:val="24"/>
          <w:szCs w:val="24"/>
        </w:rPr>
        <w:t xml:space="preserve">Deracialisation and Radical Transformation </w:t>
      </w:r>
      <w:r w:rsidR="00563ABC">
        <w:rPr>
          <w:rFonts w:cs="Arial"/>
          <w:b/>
          <w:color w:val="000000" w:themeColor="text1"/>
          <w:sz w:val="24"/>
          <w:szCs w:val="24"/>
        </w:rPr>
        <w:t>in the Construction Sector</w:t>
      </w:r>
    </w:p>
    <w:p w:rsidR="00FB799D" w:rsidRPr="00FB799D" w:rsidRDefault="00FB799D" w:rsidP="000937A1">
      <w:pPr>
        <w:spacing w:before="240" w:after="120" w:line="300" w:lineRule="auto"/>
        <w:rPr>
          <w:rFonts w:cs="Arial"/>
          <w:color w:val="000000" w:themeColor="text1"/>
          <w:sz w:val="24"/>
          <w:szCs w:val="24"/>
        </w:rPr>
      </w:pPr>
      <w:r w:rsidRPr="00FB799D">
        <w:rPr>
          <w:rFonts w:cs="Arial"/>
          <w:color w:val="000000" w:themeColor="text1"/>
          <w:sz w:val="24"/>
          <w:szCs w:val="24"/>
        </w:rPr>
        <w:t xml:space="preserve">The Department </w:t>
      </w:r>
      <w:r w:rsidR="00563ABC">
        <w:rPr>
          <w:rFonts w:cs="Arial"/>
          <w:color w:val="000000" w:themeColor="text1"/>
          <w:sz w:val="24"/>
          <w:szCs w:val="24"/>
        </w:rPr>
        <w:t xml:space="preserve">of Public Works </w:t>
      </w:r>
      <w:r w:rsidRPr="00FB799D">
        <w:rPr>
          <w:rFonts w:cs="Arial"/>
          <w:color w:val="000000" w:themeColor="text1"/>
          <w:sz w:val="24"/>
          <w:szCs w:val="24"/>
        </w:rPr>
        <w:t xml:space="preserve">provides leadership in facilitating the transformation of the built environment (BE). The enactment of the </w:t>
      </w:r>
      <w:r w:rsidR="00563ABC">
        <w:rPr>
          <w:rFonts w:cs="Arial"/>
          <w:color w:val="000000" w:themeColor="text1"/>
          <w:sz w:val="24"/>
          <w:szCs w:val="24"/>
        </w:rPr>
        <w:t>Council for the Built Environment</w:t>
      </w:r>
      <w:r w:rsidRPr="00FB799D">
        <w:rPr>
          <w:rFonts w:cs="Arial"/>
          <w:color w:val="000000" w:themeColor="text1"/>
          <w:sz w:val="24"/>
          <w:szCs w:val="24"/>
        </w:rPr>
        <w:t xml:space="preserve"> Act</w:t>
      </w:r>
      <w:r w:rsidR="00563ABC">
        <w:rPr>
          <w:rFonts w:cs="Arial"/>
          <w:color w:val="000000" w:themeColor="text1"/>
          <w:sz w:val="24"/>
          <w:szCs w:val="24"/>
        </w:rPr>
        <w:t>,</w:t>
      </w:r>
      <w:r w:rsidR="00433E99">
        <w:rPr>
          <w:rFonts w:cs="Arial"/>
          <w:color w:val="000000" w:themeColor="text1"/>
          <w:sz w:val="24"/>
          <w:szCs w:val="24"/>
        </w:rPr>
        <w:t xml:space="preserve"> 2000 [Act No. 43 of 2000]</w:t>
      </w:r>
      <w:r w:rsidR="00563ABC">
        <w:rPr>
          <w:rFonts w:cs="Arial"/>
          <w:color w:val="000000" w:themeColor="text1"/>
          <w:sz w:val="24"/>
          <w:szCs w:val="24"/>
        </w:rPr>
        <w:t xml:space="preserve"> </w:t>
      </w:r>
      <w:r w:rsidRPr="00FB799D">
        <w:rPr>
          <w:rFonts w:cs="Arial"/>
          <w:color w:val="000000" w:themeColor="text1"/>
          <w:sz w:val="24"/>
          <w:szCs w:val="24"/>
        </w:rPr>
        <w:t>and the Acts related to the 6 Built Environment Professions Councils (BEPCs) attests to the efforts towards the transformation of the BE sector. The BEPC talk to the following disciplines:</w:t>
      </w:r>
    </w:p>
    <w:p w:rsidR="00FB799D" w:rsidRPr="00FB799D" w:rsidRDefault="00FB799D" w:rsidP="000937A1">
      <w:pPr>
        <w:pStyle w:val="ListParagraph"/>
        <w:numPr>
          <w:ilvl w:val="0"/>
          <w:numId w:val="3"/>
        </w:numPr>
        <w:suppressAutoHyphens/>
        <w:autoSpaceDN w:val="0"/>
        <w:spacing w:line="300" w:lineRule="auto"/>
        <w:contextualSpacing w:val="0"/>
        <w:textAlignment w:val="baseline"/>
        <w:rPr>
          <w:rFonts w:cs="Arial"/>
          <w:color w:val="000000" w:themeColor="text1"/>
          <w:sz w:val="24"/>
          <w:szCs w:val="24"/>
        </w:rPr>
      </w:pPr>
      <w:r w:rsidRPr="00FB799D">
        <w:rPr>
          <w:rFonts w:cs="Arial"/>
          <w:color w:val="000000" w:themeColor="text1"/>
          <w:sz w:val="24"/>
          <w:szCs w:val="24"/>
        </w:rPr>
        <w:t>Architecture;</w:t>
      </w:r>
    </w:p>
    <w:p w:rsidR="00FB799D" w:rsidRPr="00FB799D" w:rsidRDefault="00FB799D" w:rsidP="000937A1">
      <w:pPr>
        <w:pStyle w:val="ListParagraph"/>
        <w:numPr>
          <w:ilvl w:val="0"/>
          <w:numId w:val="3"/>
        </w:numPr>
        <w:suppressAutoHyphens/>
        <w:autoSpaceDN w:val="0"/>
        <w:spacing w:line="300" w:lineRule="auto"/>
        <w:contextualSpacing w:val="0"/>
        <w:textAlignment w:val="baseline"/>
        <w:rPr>
          <w:rFonts w:cs="Arial"/>
          <w:color w:val="000000" w:themeColor="text1"/>
          <w:sz w:val="24"/>
          <w:szCs w:val="24"/>
        </w:rPr>
      </w:pPr>
      <w:r w:rsidRPr="00FB799D">
        <w:rPr>
          <w:rFonts w:cs="Arial"/>
          <w:color w:val="000000" w:themeColor="text1"/>
          <w:sz w:val="24"/>
          <w:szCs w:val="24"/>
        </w:rPr>
        <w:t xml:space="preserve">Landscape Architecture; </w:t>
      </w:r>
    </w:p>
    <w:p w:rsidR="00FB799D" w:rsidRPr="00FB799D" w:rsidRDefault="00FB799D" w:rsidP="000937A1">
      <w:pPr>
        <w:pStyle w:val="ListParagraph"/>
        <w:numPr>
          <w:ilvl w:val="0"/>
          <w:numId w:val="3"/>
        </w:numPr>
        <w:suppressAutoHyphens/>
        <w:autoSpaceDN w:val="0"/>
        <w:spacing w:line="300" w:lineRule="auto"/>
        <w:contextualSpacing w:val="0"/>
        <w:textAlignment w:val="baseline"/>
        <w:rPr>
          <w:rFonts w:cs="Arial"/>
          <w:color w:val="000000" w:themeColor="text1"/>
          <w:sz w:val="24"/>
          <w:szCs w:val="24"/>
        </w:rPr>
      </w:pPr>
      <w:r w:rsidRPr="00FB799D">
        <w:rPr>
          <w:rFonts w:cs="Arial"/>
          <w:color w:val="000000" w:themeColor="text1"/>
          <w:sz w:val="24"/>
          <w:szCs w:val="24"/>
        </w:rPr>
        <w:t xml:space="preserve">Quantity Surveying; </w:t>
      </w:r>
    </w:p>
    <w:p w:rsidR="00FB799D" w:rsidRPr="00FB799D" w:rsidRDefault="00FB799D" w:rsidP="000937A1">
      <w:pPr>
        <w:pStyle w:val="ListParagraph"/>
        <w:numPr>
          <w:ilvl w:val="0"/>
          <w:numId w:val="3"/>
        </w:numPr>
        <w:suppressAutoHyphens/>
        <w:autoSpaceDN w:val="0"/>
        <w:spacing w:line="300" w:lineRule="auto"/>
        <w:contextualSpacing w:val="0"/>
        <w:textAlignment w:val="baseline"/>
        <w:rPr>
          <w:rFonts w:cs="Arial"/>
          <w:color w:val="000000" w:themeColor="text1"/>
          <w:sz w:val="24"/>
          <w:szCs w:val="24"/>
        </w:rPr>
      </w:pPr>
      <w:r w:rsidRPr="00FB799D">
        <w:rPr>
          <w:rFonts w:cs="Arial"/>
          <w:color w:val="000000" w:themeColor="text1"/>
          <w:sz w:val="24"/>
          <w:szCs w:val="24"/>
        </w:rPr>
        <w:t xml:space="preserve">Engineering; </w:t>
      </w:r>
    </w:p>
    <w:p w:rsidR="00FB799D" w:rsidRPr="00FB799D" w:rsidRDefault="00FB799D" w:rsidP="000937A1">
      <w:pPr>
        <w:pStyle w:val="ListParagraph"/>
        <w:numPr>
          <w:ilvl w:val="0"/>
          <w:numId w:val="3"/>
        </w:numPr>
        <w:suppressAutoHyphens/>
        <w:autoSpaceDN w:val="0"/>
        <w:spacing w:line="300" w:lineRule="auto"/>
        <w:contextualSpacing w:val="0"/>
        <w:textAlignment w:val="baseline"/>
        <w:rPr>
          <w:rFonts w:cs="Arial"/>
          <w:color w:val="000000" w:themeColor="text1"/>
          <w:sz w:val="24"/>
          <w:szCs w:val="24"/>
        </w:rPr>
      </w:pPr>
      <w:r w:rsidRPr="00FB799D">
        <w:rPr>
          <w:rFonts w:cs="Arial"/>
          <w:color w:val="000000" w:themeColor="text1"/>
          <w:sz w:val="24"/>
          <w:szCs w:val="24"/>
        </w:rPr>
        <w:t xml:space="preserve">Construction project management; and </w:t>
      </w:r>
    </w:p>
    <w:p w:rsidR="00FB799D" w:rsidRPr="00FB799D" w:rsidRDefault="00C72312" w:rsidP="000937A1">
      <w:pPr>
        <w:pStyle w:val="ListParagraph"/>
        <w:numPr>
          <w:ilvl w:val="0"/>
          <w:numId w:val="3"/>
        </w:numPr>
        <w:suppressAutoHyphens/>
        <w:autoSpaceDN w:val="0"/>
        <w:spacing w:line="300" w:lineRule="auto"/>
        <w:contextualSpacing w:val="0"/>
        <w:textAlignment w:val="baseline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Property V</w:t>
      </w:r>
      <w:r w:rsidR="00FB799D" w:rsidRPr="00FB799D">
        <w:rPr>
          <w:rFonts w:cs="Arial"/>
          <w:color w:val="000000" w:themeColor="text1"/>
          <w:sz w:val="24"/>
          <w:szCs w:val="24"/>
        </w:rPr>
        <w:t xml:space="preserve">aluers. </w:t>
      </w:r>
    </w:p>
    <w:p w:rsidR="00FB799D" w:rsidRPr="00FB799D" w:rsidRDefault="00FB799D" w:rsidP="000937A1">
      <w:pPr>
        <w:spacing w:before="240" w:after="120" w:line="300" w:lineRule="auto"/>
        <w:rPr>
          <w:rFonts w:cs="Arial"/>
          <w:color w:val="000000" w:themeColor="text1"/>
          <w:sz w:val="24"/>
          <w:szCs w:val="24"/>
        </w:rPr>
      </w:pPr>
      <w:r w:rsidRPr="00FB799D">
        <w:rPr>
          <w:rFonts w:cs="Arial"/>
          <w:color w:val="000000" w:themeColor="text1"/>
          <w:sz w:val="24"/>
          <w:szCs w:val="24"/>
        </w:rPr>
        <w:t xml:space="preserve">Though challenges still exist, a lot of groundwork has been covered leading to a steady throughput of BE professionals from designated groups. </w:t>
      </w:r>
    </w:p>
    <w:p w:rsidR="00FB799D" w:rsidRPr="00FB799D" w:rsidRDefault="00FB799D" w:rsidP="000937A1">
      <w:pPr>
        <w:spacing w:before="240" w:after="120" w:line="300" w:lineRule="auto"/>
        <w:rPr>
          <w:rFonts w:cs="Arial"/>
          <w:color w:val="000000" w:themeColor="text1"/>
          <w:sz w:val="24"/>
          <w:szCs w:val="24"/>
        </w:rPr>
      </w:pPr>
      <w:r w:rsidRPr="00FB799D">
        <w:rPr>
          <w:rFonts w:cs="Arial"/>
          <w:sz w:val="24"/>
          <w:szCs w:val="24"/>
        </w:rPr>
        <w:t>To foster inclusivity and broad participation in the property sector, particularly with respect to State-owned immovable assets, the Property Management Empowerment Policy was developed and approved in January 2018 and subsequently became operational</w:t>
      </w:r>
      <w:r w:rsidRPr="00FB799D">
        <w:rPr>
          <w:rFonts w:cs="Arial"/>
          <w:color w:val="000000" w:themeColor="text1"/>
          <w:sz w:val="24"/>
          <w:szCs w:val="24"/>
        </w:rPr>
        <w:t xml:space="preserve">. </w:t>
      </w:r>
    </w:p>
    <w:p w:rsidR="00FB799D" w:rsidRPr="00FB799D" w:rsidRDefault="00FB799D" w:rsidP="000937A1">
      <w:pPr>
        <w:spacing w:before="240" w:after="120" w:line="300" w:lineRule="auto"/>
        <w:rPr>
          <w:rFonts w:cs="Arial"/>
          <w:sz w:val="24"/>
          <w:szCs w:val="24"/>
        </w:rPr>
      </w:pPr>
      <w:r w:rsidRPr="00FB799D">
        <w:rPr>
          <w:rFonts w:cs="Arial"/>
          <w:color w:val="000000" w:themeColor="text1"/>
          <w:sz w:val="24"/>
          <w:szCs w:val="24"/>
        </w:rPr>
        <w:t xml:space="preserve">The </w:t>
      </w:r>
      <w:r w:rsidRPr="00FB799D">
        <w:rPr>
          <w:rFonts w:cs="Arial"/>
          <w:sz w:val="24"/>
          <w:szCs w:val="24"/>
        </w:rPr>
        <w:t xml:space="preserve">Property Sector Charter and Codes were developed to facilitate transformation in the Property sector. The amended Codes were approved </w:t>
      </w:r>
      <w:r w:rsidR="000E3CE4">
        <w:rPr>
          <w:rFonts w:cs="Arial"/>
          <w:sz w:val="24"/>
          <w:szCs w:val="24"/>
        </w:rPr>
        <w:t xml:space="preserve">by the Department of Trade and Industry (DTI) </w:t>
      </w:r>
      <w:r w:rsidRPr="00FB799D">
        <w:rPr>
          <w:rFonts w:cs="Arial"/>
          <w:sz w:val="24"/>
          <w:szCs w:val="24"/>
        </w:rPr>
        <w:t xml:space="preserve">in June 2017. </w:t>
      </w:r>
    </w:p>
    <w:p w:rsidR="00FB799D" w:rsidRPr="00FB799D" w:rsidRDefault="00FB799D" w:rsidP="000937A1">
      <w:pPr>
        <w:suppressAutoHyphens/>
        <w:autoSpaceDN w:val="0"/>
        <w:spacing w:before="240" w:after="120" w:line="300" w:lineRule="auto"/>
        <w:textAlignment w:val="baseline"/>
        <w:rPr>
          <w:rFonts w:cs="Arial"/>
          <w:sz w:val="24"/>
          <w:szCs w:val="24"/>
        </w:rPr>
      </w:pPr>
      <w:r w:rsidRPr="00FB799D">
        <w:rPr>
          <w:rFonts w:cs="Arial"/>
          <w:sz w:val="24"/>
          <w:szCs w:val="24"/>
        </w:rPr>
        <w:t>The Construction Sector Transformation Charter provides the basis for the development of the Construction Sector Code as it reflects the commitment of various parties to actively promote a vibrant, transformed and competitive construction sector. The Construction Sector Charter and Codes have recently (December 2017) been approved</w:t>
      </w:r>
      <w:r w:rsidR="000E3CE4">
        <w:rPr>
          <w:rFonts w:cs="Arial"/>
          <w:sz w:val="24"/>
          <w:szCs w:val="24"/>
        </w:rPr>
        <w:t xml:space="preserve"> by the DTI</w:t>
      </w:r>
      <w:r w:rsidRPr="00FB799D">
        <w:rPr>
          <w:rFonts w:cs="Arial"/>
          <w:sz w:val="24"/>
          <w:szCs w:val="24"/>
        </w:rPr>
        <w:t xml:space="preserve">. </w:t>
      </w:r>
    </w:p>
    <w:p w:rsidR="00433E99" w:rsidRDefault="00433E99" w:rsidP="000937A1">
      <w:pPr>
        <w:spacing w:before="240" w:after="120" w:line="30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All the efforts alluded above demonstrate that the Department of Public Works is committed to</w:t>
      </w:r>
      <w:r w:rsidRPr="00433E99">
        <w:t xml:space="preserve"> </w:t>
      </w:r>
      <w:r>
        <w:rPr>
          <w:rFonts w:cs="Arial"/>
          <w:sz w:val="24"/>
          <w:szCs w:val="24"/>
        </w:rPr>
        <w:t>creating an enabling environment for reconstruction, growth and d</w:t>
      </w:r>
      <w:r w:rsidRPr="00433E99">
        <w:rPr>
          <w:rFonts w:cs="Arial"/>
          <w:sz w:val="24"/>
          <w:szCs w:val="24"/>
        </w:rPr>
        <w:t xml:space="preserve">evelopment in the </w:t>
      </w:r>
      <w:r w:rsidR="00E54D1B">
        <w:rPr>
          <w:rFonts w:cs="Arial"/>
          <w:sz w:val="24"/>
          <w:szCs w:val="24"/>
        </w:rPr>
        <w:t xml:space="preserve">Property and </w:t>
      </w:r>
      <w:r w:rsidRPr="00433E99">
        <w:rPr>
          <w:rFonts w:cs="Arial"/>
          <w:sz w:val="24"/>
          <w:szCs w:val="24"/>
        </w:rPr>
        <w:t>Construction</w:t>
      </w:r>
      <w:r>
        <w:rPr>
          <w:rFonts w:cs="Arial"/>
          <w:sz w:val="24"/>
          <w:szCs w:val="24"/>
        </w:rPr>
        <w:t xml:space="preserve"> Sector</w:t>
      </w:r>
      <w:r w:rsidR="00E54D1B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.</w:t>
      </w:r>
    </w:p>
    <w:p w:rsidR="00E54D1B" w:rsidRDefault="00E54D1B" w:rsidP="000937A1">
      <w:pPr>
        <w:spacing w:before="240" w:after="120" w:line="30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</w:t>
      </w:r>
    </w:p>
    <w:p w:rsidR="00563ABC" w:rsidRPr="00FB799D" w:rsidRDefault="00563ABC" w:rsidP="000937A1">
      <w:pPr>
        <w:spacing w:before="240" w:after="120" w:line="300" w:lineRule="auto"/>
        <w:rPr>
          <w:rFonts w:cs="Arial"/>
          <w:sz w:val="24"/>
          <w:szCs w:val="24"/>
        </w:rPr>
      </w:pPr>
    </w:p>
    <w:sectPr w:rsidR="00563ABC" w:rsidRPr="00FB799D" w:rsidSect="000937A1">
      <w:type w:val="continuous"/>
      <w:pgSz w:w="12240" w:h="15840"/>
      <w:pgMar w:top="851" w:right="1080" w:bottom="1276" w:left="1350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E7" w:rsidRDefault="00981AE7" w:rsidP="00B01072">
      <w:r>
        <w:separator/>
      </w:r>
    </w:p>
  </w:endnote>
  <w:endnote w:type="continuationSeparator" w:id="0">
    <w:p w:rsidR="00981AE7" w:rsidRDefault="00981AE7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A61015">
      <w:rPr>
        <w:rFonts w:eastAsiaTheme="majorEastAsia" w:cs="Arial"/>
        <w:b/>
        <w:sz w:val="18"/>
        <w:szCs w:val="18"/>
      </w:rPr>
      <w:t>1</w:t>
    </w:r>
    <w:r w:rsidR="00D87C2E">
      <w:rPr>
        <w:rFonts w:eastAsiaTheme="majorEastAsia" w:cs="Arial"/>
        <w:b/>
        <w:sz w:val="18"/>
        <w:szCs w:val="18"/>
      </w:rPr>
      <w:t>3</w:t>
    </w:r>
    <w:r w:rsidR="00784FE7">
      <w:rPr>
        <w:rFonts w:eastAsiaTheme="majorEastAsia" w:cs="Arial"/>
        <w:b/>
        <w:sz w:val="18"/>
        <w:szCs w:val="18"/>
      </w:rPr>
      <w:t>3</w:t>
    </w:r>
    <w:r w:rsidR="00B0146F">
      <w:rPr>
        <w:rFonts w:eastAsiaTheme="majorEastAsia" w:cs="Arial"/>
        <w:b/>
        <w:sz w:val="18"/>
        <w:szCs w:val="18"/>
      </w:rPr>
      <w:t>6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566DBD">
      <w:rPr>
        <w:rFonts w:eastAsia="Calibri" w:cs="Arial"/>
        <w:b/>
        <w:bCs/>
        <w:sz w:val="18"/>
        <w:szCs w:val="18"/>
        <w:lang w:val="af-ZA" w:eastAsia="en-US"/>
      </w:rPr>
      <w:t>Dr M J Figg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7B3435" w:rsidRPr="007B3435">
      <w:rPr>
        <w:rFonts w:eastAsiaTheme="majorEastAsia" w:cs="Arial"/>
        <w:b/>
        <w:noProof/>
        <w:sz w:val="18"/>
        <w:szCs w:val="18"/>
      </w:rPr>
      <w:t>3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981AE7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E7" w:rsidRDefault="00981AE7" w:rsidP="00B01072">
      <w:r>
        <w:separator/>
      </w:r>
    </w:p>
  </w:footnote>
  <w:footnote w:type="continuationSeparator" w:id="0">
    <w:p w:rsidR="00981AE7" w:rsidRDefault="00981AE7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D6815"/>
    <w:multiLevelType w:val="multilevel"/>
    <w:tmpl w:val="8B0AA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0A00"/>
    <w:multiLevelType w:val="hybridMultilevel"/>
    <w:tmpl w:val="C98481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92FF0"/>
    <w:multiLevelType w:val="hybridMultilevel"/>
    <w:tmpl w:val="9086DC88"/>
    <w:lvl w:ilvl="0" w:tplc="10CA58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08DB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107A"/>
    <w:rsid w:val="00063548"/>
    <w:rsid w:val="000656CA"/>
    <w:rsid w:val="00070C85"/>
    <w:rsid w:val="00074F49"/>
    <w:rsid w:val="00076BCC"/>
    <w:rsid w:val="000937A1"/>
    <w:rsid w:val="00095FFF"/>
    <w:rsid w:val="0009751E"/>
    <w:rsid w:val="000A08C0"/>
    <w:rsid w:val="000A0AF6"/>
    <w:rsid w:val="000B1923"/>
    <w:rsid w:val="000B19CD"/>
    <w:rsid w:val="000B22ED"/>
    <w:rsid w:val="000B4241"/>
    <w:rsid w:val="000B4F40"/>
    <w:rsid w:val="000B685A"/>
    <w:rsid w:val="000C70FB"/>
    <w:rsid w:val="000D3F7C"/>
    <w:rsid w:val="000D41E1"/>
    <w:rsid w:val="000D5A5D"/>
    <w:rsid w:val="000D600B"/>
    <w:rsid w:val="000E0C57"/>
    <w:rsid w:val="000E3CE4"/>
    <w:rsid w:val="000F0B2D"/>
    <w:rsid w:val="00106D04"/>
    <w:rsid w:val="00107822"/>
    <w:rsid w:val="00110781"/>
    <w:rsid w:val="00110DF3"/>
    <w:rsid w:val="00111AB1"/>
    <w:rsid w:val="00116CCB"/>
    <w:rsid w:val="00123E02"/>
    <w:rsid w:val="00131356"/>
    <w:rsid w:val="001340CE"/>
    <w:rsid w:val="001372AA"/>
    <w:rsid w:val="00140E93"/>
    <w:rsid w:val="00142CD8"/>
    <w:rsid w:val="001449BF"/>
    <w:rsid w:val="00152C01"/>
    <w:rsid w:val="00162A0F"/>
    <w:rsid w:val="001658F2"/>
    <w:rsid w:val="00166FD7"/>
    <w:rsid w:val="001729E9"/>
    <w:rsid w:val="00173F8E"/>
    <w:rsid w:val="00174560"/>
    <w:rsid w:val="00177367"/>
    <w:rsid w:val="0018124B"/>
    <w:rsid w:val="001833AC"/>
    <w:rsid w:val="001A22C6"/>
    <w:rsid w:val="001C2A53"/>
    <w:rsid w:val="001C2B34"/>
    <w:rsid w:val="001C3FDF"/>
    <w:rsid w:val="001C4269"/>
    <w:rsid w:val="001C602F"/>
    <w:rsid w:val="001C6CA1"/>
    <w:rsid w:val="001E486F"/>
    <w:rsid w:val="001F0D11"/>
    <w:rsid w:val="001F0D5D"/>
    <w:rsid w:val="001F1F16"/>
    <w:rsid w:val="00203E0F"/>
    <w:rsid w:val="00206C11"/>
    <w:rsid w:val="00211BC4"/>
    <w:rsid w:val="002229B7"/>
    <w:rsid w:val="002247D6"/>
    <w:rsid w:val="002265CB"/>
    <w:rsid w:val="0023195F"/>
    <w:rsid w:val="00232D48"/>
    <w:rsid w:val="00243357"/>
    <w:rsid w:val="00275F2F"/>
    <w:rsid w:val="002837A2"/>
    <w:rsid w:val="00291BC2"/>
    <w:rsid w:val="00294275"/>
    <w:rsid w:val="002A1F39"/>
    <w:rsid w:val="002A5D13"/>
    <w:rsid w:val="002B2F32"/>
    <w:rsid w:val="002C175C"/>
    <w:rsid w:val="002C603A"/>
    <w:rsid w:val="002C7394"/>
    <w:rsid w:val="002D5208"/>
    <w:rsid w:val="002E6B86"/>
    <w:rsid w:val="002F6E70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43207"/>
    <w:rsid w:val="00351A07"/>
    <w:rsid w:val="00351D61"/>
    <w:rsid w:val="00352AC2"/>
    <w:rsid w:val="0035503F"/>
    <w:rsid w:val="003718A9"/>
    <w:rsid w:val="003731CC"/>
    <w:rsid w:val="00382C94"/>
    <w:rsid w:val="003930E2"/>
    <w:rsid w:val="003A0AD7"/>
    <w:rsid w:val="003A53A4"/>
    <w:rsid w:val="003D262F"/>
    <w:rsid w:val="003D3867"/>
    <w:rsid w:val="003E5694"/>
    <w:rsid w:val="003F3ABB"/>
    <w:rsid w:val="003F628A"/>
    <w:rsid w:val="004079CA"/>
    <w:rsid w:val="00413C62"/>
    <w:rsid w:val="00432C4E"/>
    <w:rsid w:val="00433C6D"/>
    <w:rsid w:val="00433E99"/>
    <w:rsid w:val="004342FE"/>
    <w:rsid w:val="00435691"/>
    <w:rsid w:val="0044149F"/>
    <w:rsid w:val="004422F9"/>
    <w:rsid w:val="00446AA2"/>
    <w:rsid w:val="004532AE"/>
    <w:rsid w:val="00453445"/>
    <w:rsid w:val="00460B71"/>
    <w:rsid w:val="004739D7"/>
    <w:rsid w:val="004868AF"/>
    <w:rsid w:val="00493FB3"/>
    <w:rsid w:val="00496447"/>
    <w:rsid w:val="00496480"/>
    <w:rsid w:val="0049710C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F61F7"/>
    <w:rsid w:val="005067C0"/>
    <w:rsid w:val="00513712"/>
    <w:rsid w:val="0052239F"/>
    <w:rsid w:val="00531D8A"/>
    <w:rsid w:val="0053382B"/>
    <w:rsid w:val="005449EC"/>
    <w:rsid w:val="00546EC6"/>
    <w:rsid w:val="00560E8F"/>
    <w:rsid w:val="00563ABC"/>
    <w:rsid w:val="00563D73"/>
    <w:rsid w:val="00566DBD"/>
    <w:rsid w:val="0057746F"/>
    <w:rsid w:val="00591850"/>
    <w:rsid w:val="005940D1"/>
    <w:rsid w:val="005B1E2B"/>
    <w:rsid w:val="005C570C"/>
    <w:rsid w:val="005C699E"/>
    <w:rsid w:val="005D1762"/>
    <w:rsid w:val="005D5B0B"/>
    <w:rsid w:val="005E2D86"/>
    <w:rsid w:val="005E535A"/>
    <w:rsid w:val="005E6AF1"/>
    <w:rsid w:val="005F01F6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26A10"/>
    <w:rsid w:val="006343C2"/>
    <w:rsid w:val="00642633"/>
    <w:rsid w:val="006462D7"/>
    <w:rsid w:val="00657D71"/>
    <w:rsid w:val="00670BA5"/>
    <w:rsid w:val="00673A45"/>
    <w:rsid w:val="00675570"/>
    <w:rsid w:val="00684BB6"/>
    <w:rsid w:val="00685646"/>
    <w:rsid w:val="006A027A"/>
    <w:rsid w:val="006A05C9"/>
    <w:rsid w:val="006B79CB"/>
    <w:rsid w:val="006C3E5B"/>
    <w:rsid w:val="006C7A8E"/>
    <w:rsid w:val="006D0841"/>
    <w:rsid w:val="006D1A51"/>
    <w:rsid w:val="006D4597"/>
    <w:rsid w:val="006D4C8A"/>
    <w:rsid w:val="006E54EA"/>
    <w:rsid w:val="006E6A99"/>
    <w:rsid w:val="006F2930"/>
    <w:rsid w:val="006F36F8"/>
    <w:rsid w:val="00702074"/>
    <w:rsid w:val="00705DD0"/>
    <w:rsid w:val="00713D62"/>
    <w:rsid w:val="007144AF"/>
    <w:rsid w:val="007266A7"/>
    <w:rsid w:val="0073270F"/>
    <w:rsid w:val="00735D1D"/>
    <w:rsid w:val="00737327"/>
    <w:rsid w:val="00741804"/>
    <w:rsid w:val="00741D3C"/>
    <w:rsid w:val="007422B3"/>
    <w:rsid w:val="00760875"/>
    <w:rsid w:val="00781562"/>
    <w:rsid w:val="00784FE7"/>
    <w:rsid w:val="00787766"/>
    <w:rsid w:val="00794233"/>
    <w:rsid w:val="007950DA"/>
    <w:rsid w:val="007A03D5"/>
    <w:rsid w:val="007B338D"/>
    <w:rsid w:val="007B3435"/>
    <w:rsid w:val="007C0E4E"/>
    <w:rsid w:val="007E0072"/>
    <w:rsid w:val="007E3B7C"/>
    <w:rsid w:val="007E4E3E"/>
    <w:rsid w:val="007E63B3"/>
    <w:rsid w:val="007F2807"/>
    <w:rsid w:val="008039CD"/>
    <w:rsid w:val="00803A16"/>
    <w:rsid w:val="0081414D"/>
    <w:rsid w:val="008232E5"/>
    <w:rsid w:val="00836EA6"/>
    <w:rsid w:val="0085572D"/>
    <w:rsid w:val="008717E7"/>
    <w:rsid w:val="00873D00"/>
    <w:rsid w:val="00873D6D"/>
    <w:rsid w:val="0087440F"/>
    <w:rsid w:val="0088064A"/>
    <w:rsid w:val="00881166"/>
    <w:rsid w:val="0089342B"/>
    <w:rsid w:val="008A4354"/>
    <w:rsid w:val="008B236E"/>
    <w:rsid w:val="008B3660"/>
    <w:rsid w:val="008C472C"/>
    <w:rsid w:val="008D1494"/>
    <w:rsid w:val="008F177A"/>
    <w:rsid w:val="008F3C78"/>
    <w:rsid w:val="009148F7"/>
    <w:rsid w:val="00916D71"/>
    <w:rsid w:val="00922EA3"/>
    <w:rsid w:val="00926BCD"/>
    <w:rsid w:val="009335B8"/>
    <w:rsid w:val="00940E46"/>
    <w:rsid w:val="00957952"/>
    <w:rsid w:val="00970F77"/>
    <w:rsid w:val="00976436"/>
    <w:rsid w:val="00980341"/>
    <w:rsid w:val="00980BB4"/>
    <w:rsid w:val="00981AE7"/>
    <w:rsid w:val="00997315"/>
    <w:rsid w:val="009A121F"/>
    <w:rsid w:val="009A2A79"/>
    <w:rsid w:val="009A34AE"/>
    <w:rsid w:val="009B07DF"/>
    <w:rsid w:val="009B418A"/>
    <w:rsid w:val="009B7DB2"/>
    <w:rsid w:val="009F4EFA"/>
    <w:rsid w:val="009F4F8E"/>
    <w:rsid w:val="00A04FB9"/>
    <w:rsid w:val="00A1165A"/>
    <w:rsid w:val="00A11A85"/>
    <w:rsid w:val="00A213AD"/>
    <w:rsid w:val="00A23D03"/>
    <w:rsid w:val="00A31C72"/>
    <w:rsid w:val="00A40142"/>
    <w:rsid w:val="00A4432D"/>
    <w:rsid w:val="00A46014"/>
    <w:rsid w:val="00A50E27"/>
    <w:rsid w:val="00A5375C"/>
    <w:rsid w:val="00A60AEA"/>
    <w:rsid w:val="00A61015"/>
    <w:rsid w:val="00A626D6"/>
    <w:rsid w:val="00A65DCC"/>
    <w:rsid w:val="00A70E0E"/>
    <w:rsid w:val="00A7275E"/>
    <w:rsid w:val="00A83487"/>
    <w:rsid w:val="00A852C4"/>
    <w:rsid w:val="00A9155C"/>
    <w:rsid w:val="00A91F96"/>
    <w:rsid w:val="00AA0441"/>
    <w:rsid w:val="00AA0455"/>
    <w:rsid w:val="00AB67C6"/>
    <w:rsid w:val="00AD02CF"/>
    <w:rsid w:val="00AD0F40"/>
    <w:rsid w:val="00AD36D1"/>
    <w:rsid w:val="00AE3D8F"/>
    <w:rsid w:val="00AF1A17"/>
    <w:rsid w:val="00AF1FD9"/>
    <w:rsid w:val="00B01072"/>
    <w:rsid w:val="00B0146F"/>
    <w:rsid w:val="00B016B6"/>
    <w:rsid w:val="00B10DDB"/>
    <w:rsid w:val="00B10EA2"/>
    <w:rsid w:val="00B32F50"/>
    <w:rsid w:val="00B33183"/>
    <w:rsid w:val="00B44E3D"/>
    <w:rsid w:val="00B72C9B"/>
    <w:rsid w:val="00B75DFF"/>
    <w:rsid w:val="00B76EA0"/>
    <w:rsid w:val="00B966D4"/>
    <w:rsid w:val="00BA0CBE"/>
    <w:rsid w:val="00BA3676"/>
    <w:rsid w:val="00BA6B39"/>
    <w:rsid w:val="00BC3F53"/>
    <w:rsid w:val="00BC5C94"/>
    <w:rsid w:val="00BC6AE1"/>
    <w:rsid w:val="00BD1E79"/>
    <w:rsid w:val="00BD2228"/>
    <w:rsid w:val="00BD53C1"/>
    <w:rsid w:val="00C05325"/>
    <w:rsid w:val="00C05CEB"/>
    <w:rsid w:val="00C143AE"/>
    <w:rsid w:val="00C143C0"/>
    <w:rsid w:val="00C16434"/>
    <w:rsid w:val="00C16CA4"/>
    <w:rsid w:val="00C2072D"/>
    <w:rsid w:val="00C33545"/>
    <w:rsid w:val="00C438C9"/>
    <w:rsid w:val="00C45CDF"/>
    <w:rsid w:val="00C55CF0"/>
    <w:rsid w:val="00C72312"/>
    <w:rsid w:val="00C72707"/>
    <w:rsid w:val="00C734C8"/>
    <w:rsid w:val="00C94B70"/>
    <w:rsid w:val="00CA550E"/>
    <w:rsid w:val="00CC07E1"/>
    <w:rsid w:val="00CC255F"/>
    <w:rsid w:val="00CC2ECC"/>
    <w:rsid w:val="00CC69B7"/>
    <w:rsid w:val="00CD7226"/>
    <w:rsid w:val="00CE70D6"/>
    <w:rsid w:val="00D133E8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65B50"/>
    <w:rsid w:val="00D712DD"/>
    <w:rsid w:val="00D74A2D"/>
    <w:rsid w:val="00D87C2E"/>
    <w:rsid w:val="00D9548C"/>
    <w:rsid w:val="00DA1BD0"/>
    <w:rsid w:val="00DA5567"/>
    <w:rsid w:val="00DB05C5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DF6717"/>
    <w:rsid w:val="00E0095B"/>
    <w:rsid w:val="00E00E52"/>
    <w:rsid w:val="00E0385B"/>
    <w:rsid w:val="00E123EB"/>
    <w:rsid w:val="00E12929"/>
    <w:rsid w:val="00E13322"/>
    <w:rsid w:val="00E16F8D"/>
    <w:rsid w:val="00E20671"/>
    <w:rsid w:val="00E23474"/>
    <w:rsid w:val="00E25E47"/>
    <w:rsid w:val="00E35202"/>
    <w:rsid w:val="00E36049"/>
    <w:rsid w:val="00E3748A"/>
    <w:rsid w:val="00E413BA"/>
    <w:rsid w:val="00E44ADB"/>
    <w:rsid w:val="00E4755D"/>
    <w:rsid w:val="00E526CF"/>
    <w:rsid w:val="00E54D1B"/>
    <w:rsid w:val="00E60FD3"/>
    <w:rsid w:val="00E66692"/>
    <w:rsid w:val="00E74EEE"/>
    <w:rsid w:val="00E779E4"/>
    <w:rsid w:val="00E808B7"/>
    <w:rsid w:val="00E85BBD"/>
    <w:rsid w:val="00E8666B"/>
    <w:rsid w:val="00EA26C6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6CCB"/>
    <w:rsid w:val="00EE2AEC"/>
    <w:rsid w:val="00EE465F"/>
    <w:rsid w:val="00EF2079"/>
    <w:rsid w:val="00EF3E7D"/>
    <w:rsid w:val="00EF608A"/>
    <w:rsid w:val="00EF688F"/>
    <w:rsid w:val="00EF7DE9"/>
    <w:rsid w:val="00F07CC1"/>
    <w:rsid w:val="00F12C8A"/>
    <w:rsid w:val="00F26CF4"/>
    <w:rsid w:val="00F26E1D"/>
    <w:rsid w:val="00F318FF"/>
    <w:rsid w:val="00F33787"/>
    <w:rsid w:val="00F3566A"/>
    <w:rsid w:val="00F43075"/>
    <w:rsid w:val="00F50930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A29"/>
    <w:rsid w:val="00FA5EB0"/>
    <w:rsid w:val="00FB799D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8356-004B-4533-96AB-401B61F3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Mpho Mashaba</cp:lastModifiedBy>
  <cp:revision>2</cp:revision>
  <cp:lastPrinted>2018-06-12T11:05:00Z</cp:lastPrinted>
  <dcterms:created xsi:type="dcterms:W3CDTF">2018-06-14T10:58:00Z</dcterms:created>
  <dcterms:modified xsi:type="dcterms:W3CDTF">2018-06-14T10:58:00Z</dcterms:modified>
</cp:coreProperties>
</file>