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313752">
        <w:rPr>
          <w:b/>
          <w:bCs/>
          <w:sz w:val="24"/>
          <w:u w:val="single"/>
        </w:rPr>
        <w:t>34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C6497">
        <w:rPr>
          <w:b/>
          <w:bCs/>
          <w:sz w:val="24"/>
          <w:u w:val="single"/>
        </w:rPr>
        <w:t xml:space="preserve">01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CC6497">
        <w:rPr>
          <w:b/>
          <w:bCs/>
          <w:sz w:val="24"/>
          <w:u w:val="single"/>
        </w:rPr>
        <w:t>3</w:t>
      </w:r>
      <w:r w:rsidRPr="00294557">
        <w:rPr>
          <w:b/>
          <w:bCs/>
          <w:sz w:val="24"/>
          <w:u w:val="single"/>
        </w:rPr>
        <w:t>)</w:t>
      </w:r>
    </w:p>
    <w:p w:rsidR="00313752" w:rsidRPr="00313752" w:rsidRDefault="00313752" w:rsidP="00313752">
      <w:pPr>
        <w:spacing w:after="120"/>
        <w:ind w:left="720" w:right="-142" w:hanging="720"/>
        <w:jc w:val="both"/>
        <w:outlineLvl w:val="0"/>
        <w:rPr>
          <w:b/>
          <w:sz w:val="24"/>
          <w:u w:val="single"/>
        </w:rPr>
      </w:pPr>
      <w:r w:rsidRPr="00313752">
        <w:rPr>
          <w:rFonts w:eastAsia="Calibri"/>
          <w:b/>
          <w:sz w:val="24"/>
          <w:u w:val="single"/>
          <w:lang w:val="de-DE"/>
        </w:rPr>
        <w:t xml:space="preserve">The Leader of the </w:t>
      </w:r>
      <w:r w:rsidRPr="00313752">
        <w:rPr>
          <w:b/>
          <w:sz w:val="24"/>
          <w:u w:val="single"/>
        </w:rPr>
        <w:t>Opposition (DA) to ask the Minister of Health</w:t>
      </w:r>
      <w:r w:rsidR="00AA2E7D" w:rsidRPr="00313752">
        <w:rPr>
          <w:b/>
          <w:sz w:val="24"/>
          <w:u w:val="single"/>
        </w:rPr>
        <w:fldChar w:fldCharType="begin"/>
      </w:r>
      <w:r w:rsidRPr="00313752">
        <w:rPr>
          <w:u w:val="single"/>
        </w:rPr>
        <w:instrText xml:space="preserve"> XE "</w:instrText>
      </w:r>
      <w:r w:rsidRPr="00313752">
        <w:rPr>
          <w:b/>
          <w:sz w:val="24"/>
          <w:u w:val="single"/>
        </w:rPr>
        <w:instrText>Health</w:instrText>
      </w:r>
      <w:r w:rsidRPr="00313752">
        <w:rPr>
          <w:u w:val="single"/>
        </w:rPr>
        <w:instrText xml:space="preserve">" </w:instrText>
      </w:r>
      <w:r w:rsidR="00AA2E7D" w:rsidRPr="00313752">
        <w:rPr>
          <w:b/>
          <w:sz w:val="24"/>
          <w:u w:val="single"/>
        </w:rPr>
        <w:fldChar w:fldCharType="end"/>
      </w:r>
      <w:r w:rsidRPr="00313752">
        <w:rPr>
          <w:b/>
          <w:sz w:val="24"/>
          <w:u w:val="single"/>
        </w:rPr>
        <w:t xml:space="preserve">: </w:t>
      </w:r>
    </w:p>
    <w:p w:rsidR="0093674D" w:rsidRPr="00460E13" w:rsidRDefault="00313752" w:rsidP="00313752">
      <w:pPr>
        <w:spacing w:after="120"/>
        <w:ind w:right="-142" w:firstLine="11"/>
        <w:jc w:val="both"/>
        <w:rPr>
          <w:rFonts w:ascii="Times New Roman" w:hAnsi="Times New Roman" w:cs="Times New Roman"/>
          <w:sz w:val="20"/>
          <w:szCs w:val="20"/>
        </w:rPr>
      </w:pPr>
      <w:r w:rsidRPr="00313752">
        <w:rPr>
          <w:sz w:val="24"/>
        </w:rPr>
        <w:t xml:space="preserve">What total </w:t>
      </w:r>
      <w:proofErr w:type="gramStart"/>
      <w:r w:rsidRPr="00313752">
        <w:rPr>
          <w:sz w:val="24"/>
        </w:rPr>
        <w:t>number of excess deaths have</w:t>
      </w:r>
      <w:proofErr w:type="gramEnd"/>
      <w:r w:rsidRPr="00313752">
        <w:rPr>
          <w:sz w:val="24"/>
        </w:rPr>
        <w:t xml:space="preserve"> been recorded for each 10-year age group of the population in each (a) province and (b) month since 1 March 2020?</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005DC">
        <w:rPr>
          <w:color w:val="000000"/>
        </w:rPr>
        <w:t>5</w:t>
      </w:r>
      <w:r w:rsidR="00313752">
        <w:rPr>
          <w:color w:val="000000"/>
        </w:rPr>
        <w:t>98</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F0427E" w:rsidRPr="002E4F83" w:rsidRDefault="00F0427E" w:rsidP="00F0427E">
      <w:pPr>
        <w:pStyle w:val="Default"/>
        <w:jc w:val="both"/>
        <w:rPr>
          <w:color w:val="auto"/>
        </w:rPr>
      </w:pPr>
      <w:r w:rsidRPr="002E4F83">
        <w:rPr>
          <w:color w:val="auto"/>
        </w:rPr>
        <w:t xml:space="preserve">Excess deaths refer to the number of deaths observed during the pandemic above a baseline of recent trends. Estimates of excess deaths provide information about the burden of mortality potentially related to the COVID-19 pandemic, including deaths that are directly or indirectly attributed to COVID-19. </w:t>
      </w:r>
    </w:p>
    <w:p w:rsidR="00F0427E" w:rsidRPr="002E4F83" w:rsidRDefault="00F0427E" w:rsidP="00F0427E">
      <w:pPr>
        <w:pStyle w:val="Default"/>
        <w:jc w:val="both"/>
        <w:rPr>
          <w:color w:val="auto"/>
        </w:rPr>
      </w:pPr>
    </w:p>
    <w:p w:rsidR="00F0427E" w:rsidRPr="002E4F83" w:rsidRDefault="00F0427E" w:rsidP="00F0427E">
      <w:pPr>
        <w:pStyle w:val="Default"/>
        <w:jc w:val="both"/>
        <w:rPr>
          <w:color w:val="auto"/>
        </w:rPr>
      </w:pPr>
      <w:r w:rsidRPr="002E4F83">
        <w:rPr>
          <w:color w:val="auto"/>
        </w:rPr>
        <w:t xml:space="preserve">The numbers of excess deaths in South Africa are estimated from the death registration data that the South African Medical Research Council obtains from the National Population Register maintained by the Department of Home Affairs. </w:t>
      </w:r>
    </w:p>
    <w:p w:rsidR="00F0427E" w:rsidRPr="002E4F83" w:rsidRDefault="00F0427E" w:rsidP="00F0427E">
      <w:pPr>
        <w:pStyle w:val="Default"/>
        <w:jc w:val="both"/>
        <w:rPr>
          <w:color w:val="auto"/>
        </w:rPr>
      </w:pPr>
    </w:p>
    <w:p w:rsidR="00F0427E" w:rsidRPr="002E4F83" w:rsidRDefault="00F0427E" w:rsidP="00F0427E">
      <w:pPr>
        <w:pStyle w:val="Default"/>
        <w:jc w:val="both"/>
        <w:rPr>
          <w:color w:val="auto"/>
        </w:rPr>
      </w:pPr>
      <w:r w:rsidRPr="002E4F83">
        <w:rPr>
          <w:color w:val="auto"/>
        </w:rPr>
        <w:t xml:space="preserve">Using all-cause deaths reported in the death registration system of South Africa (adjusting for late registration and incompleteness), the MRC developed estimates and monitors excess deaths experienced during the COVID-19 pandemic in the country. Weekly reports have been published, providing the total number of excess deaths from natural causes by province since 3 May 2020.  </w:t>
      </w:r>
    </w:p>
    <w:p w:rsidR="00F0427E" w:rsidRPr="002E4F83" w:rsidRDefault="00F0427E" w:rsidP="00F0427E">
      <w:pPr>
        <w:pStyle w:val="Default"/>
        <w:ind w:left="360"/>
        <w:jc w:val="both"/>
        <w:rPr>
          <w:color w:val="auto"/>
        </w:rPr>
      </w:pPr>
    </w:p>
    <w:p w:rsidR="00F0427E" w:rsidRPr="002E4F83" w:rsidRDefault="00F0427E" w:rsidP="00F0427E">
      <w:pPr>
        <w:pStyle w:val="Default"/>
        <w:ind w:left="709" w:hanging="709"/>
        <w:jc w:val="both"/>
        <w:rPr>
          <w:color w:val="auto"/>
        </w:rPr>
      </w:pPr>
      <w:r>
        <w:rPr>
          <w:color w:val="auto"/>
        </w:rPr>
        <w:t>(a)-(b)</w:t>
      </w:r>
      <w:r>
        <w:rPr>
          <w:color w:val="auto"/>
        </w:rPr>
        <w:tab/>
      </w:r>
      <w:r w:rsidRPr="002E4F83">
        <w:rPr>
          <w:color w:val="auto"/>
        </w:rPr>
        <w:t xml:space="preserve">Table A below provides the broad age break down of the numbers of excess deaths from natural causes in each wave of the pandemic and the figure shows the broad age band breakdown of the total excess deaths experienced during the period Week 19 of 2020 to Week 13 of 2022 (i.e., 9 May 2020 – 2 April 2022). 52 weeks are assumed per calendar year. </w:t>
      </w:r>
      <w:r w:rsidRPr="002E4F83">
        <w:rPr>
          <w:color w:val="FF0000"/>
        </w:rPr>
        <w:t xml:space="preserve"> </w:t>
      </w:r>
      <w:r w:rsidRPr="002E4F83">
        <w:rPr>
          <w:color w:val="auto"/>
        </w:rPr>
        <w:t xml:space="preserve">The data is collected and presented by Epidemiological weeks which are used as a </w:t>
      </w:r>
      <w:proofErr w:type="gramStart"/>
      <w:r w:rsidRPr="002E4F83">
        <w:rPr>
          <w:color w:val="auto"/>
        </w:rPr>
        <w:t>standard  method</w:t>
      </w:r>
      <w:proofErr w:type="gramEnd"/>
      <w:r w:rsidRPr="002E4F83">
        <w:rPr>
          <w:color w:val="auto"/>
        </w:rPr>
        <w:t xml:space="preserve"> to report excess deaths. Estimates of the numbers of excess natural deaths by province by age group are currently not available due to the fact that as you go lower down in population breakdown, variations may be marginal in comparison, which affects the confidence level of the estimates. The research team, comprising demographers, epidemiologists and statisticians are confident within a small range of uncertainty, with the numbers of excess deaths by broad age group (separate from provincial categorisation) at a national level.</w:t>
      </w:r>
    </w:p>
    <w:p w:rsidR="00F0427E" w:rsidRPr="005A1D7F" w:rsidRDefault="00F0427E" w:rsidP="00F0427E">
      <w:pPr>
        <w:pStyle w:val="Default"/>
        <w:jc w:val="both"/>
        <w:rPr>
          <w:color w:val="auto"/>
          <w:sz w:val="22"/>
          <w:szCs w:val="22"/>
        </w:rPr>
      </w:pPr>
    </w:p>
    <w:tbl>
      <w:tblPr>
        <w:tblStyle w:val="TableGrid"/>
        <w:tblW w:w="9923" w:type="dxa"/>
        <w:tblInd w:w="704" w:type="dxa"/>
        <w:tblLayout w:type="fixed"/>
        <w:tblLook w:val="04A0"/>
      </w:tblPr>
      <w:tblGrid>
        <w:gridCol w:w="1299"/>
        <w:gridCol w:w="1673"/>
        <w:gridCol w:w="1701"/>
        <w:gridCol w:w="1706"/>
        <w:gridCol w:w="1696"/>
        <w:gridCol w:w="1848"/>
      </w:tblGrid>
      <w:tr w:rsidR="00F0427E" w:rsidRPr="002E4F83" w:rsidTr="00FB3C3D">
        <w:trPr>
          <w:trHeight w:val="648"/>
        </w:trPr>
        <w:tc>
          <w:tcPr>
            <w:tcW w:w="1299" w:type="dxa"/>
            <w:shd w:val="clear" w:color="auto" w:fill="D9D9D9" w:themeFill="background1" w:themeFillShade="D9"/>
          </w:tcPr>
          <w:p w:rsidR="00F0427E" w:rsidRPr="002E4F83" w:rsidRDefault="00F0427E" w:rsidP="00FB3C3D">
            <w:pPr>
              <w:pStyle w:val="Default"/>
              <w:jc w:val="both"/>
              <w:rPr>
                <w:sz w:val="20"/>
                <w:szCs w:val="20"/>
              </w:rPr>
            </w:pPr>
            <w:r w:rsidRPr="002E4F83">
              <w:rPr>
                <w:b/>
                <w:sz w:val="20"/>
                <w:szCs w:val="20"/>
              </w:rPr>
              <w:t>Age group</w:t>
            </w:r>
            <w:r w:rsidRPr="002E4F83">
              <w:rPr>
                <w:sz w:val="20"/>
                <w:szCs w:val="20"/>
              </w:rPr>
              <w:t xml:space="preserve"> (years) </w:t>
            </w:r>
          </w:p>
        </w:tc>
        <w:tc>
          <w:tcPr>
            <w:tcW w:w="1673" w:type="dxa"/>
            <w:shd w:val="clear" w:color="auto" w:fill="D9D9D9" w:themeFill="background1" w:themeFillShade="D9"/>
          </w:tcPr>
          <w:p w:rsidR="00F0427E" w:rsidRPr="002E4F83" w:rsidRDefault="00F0427E" w:rsidP="00FB3C3D">
            <w:pPr>
              <w:pStyle w:val="Default"/>
              <w:jc w:val="both"/>
              <w:rPr>
                <w:sz w:val="20"/>
                <w:szCs w:val="20"/>
              </w:rPr>
            </w:pPr>
            <w:r w:rsidRPr="002E4F83">
              <w:rPr>
                <w:b/>
                <w:sz w:val="20"/>
                <w:szCs w:val="20"/>
              </w:rPr>
              <w:t>Wave 1</w:t>
            </w:r>
            <w:r w:rsidRPr="002E4F83">
              <w:rPr>
                <w:sz w:val="20"/>
                <w:szCs w:val="20"/>
              </w:rPr>
              <w:t xml:space="preserve"> </w:t>
            </w:r>
          </w:p>
          <w:p w:rsidR="00F0427E" w:rsidRPr="002E4F83" w:rsidRDefault="00F0427E" w:rsidP="00FB3C3D">
            <w:pPr>
              <w:pStyle w:val="Default"/>
              <w:rPr>
                <w:sz w:val="20"/>
                <w:szCs w:val="20"/>
              </w:rPr>
            </w:pPr>
            <w:r w:rsidRPr="002E4F83">
              <w:rPr>
                <w:sz w:val="20"/>
                <w:szCs w:val="20"/>
              </w:rPr>
              <w:t>(2020 week 19 -2020 week 42)</w:t>
            </w:r>
          </w:p>
        </w:tc>
        <w:tc>
          <w:tcPr>
            <w:tcW w:w="1701" w:type="dxa"/>
            <w:shd w:val="clear" w:color="auto" w:fill="D9D9D9" w:themeFill="background1" w:themeFillShade="D9"/>
          </w:tcPr>
          <w:p w:rsidR="00F0427E" w:rsidRPr="002E4F83" w:rsidRDefault="00F0427E" w:rsidP="00FB3C3D">
            <w:pPr>
              <w:pStyle w:val="Default"/>
              <w:jc w:val="both"/>
              <w:rPr>
                <w:b/>
                <w:sz w:val="20"/>
                <w:szCs w:val="20"/>
              </w:rPr>
            </w:pPr>
            <w:r w:rsidRPr="002E4F83">
              <w:rPr>
                <w:b/>
                <w:sz w:val="20"/>
                <w:szCs w:val="20"/>
              </w:rPr>
              <w:t>Wave 2</w:t>
            </w:r>
          </w:p>
          <w:p w:rsidR="00F0427E" w:rsidRPr="002E4F83" w:rsidRDefault="00F0427E" w:rsidP="00FB3C3D">
            <w:pPr>
              <w:pStyle w:val="Default"/>
              <w:rPr>
                <w:sz w:val="20"/>
                <w:szCs w:val="20"/>
              </w:rPr>
            </w:pPr>
            <w:r w:rsidRPr="002E4F83">
              <w:rPr>
                <w:sz w:val="20"/>
                <w:szCs w:val="20"/>
              </w:rPr>
              <w:t>(2020 week 43 - 2021 week 14)</w:t>
            </w:r>
          </w:p>
        </w:tc>
        <w:tc>
          <w:tcPr>
            <w:tcW w:w="1706" w:type="dxa"/>
            <w:shd w:val="clear" w:color="auto" w:fill="D9D9D9" w:themeFill="background1" w:themeFillShade="D9"/>
          </w:tcPr>
          <w:p w:rsidR="00F0427E" w:rsidRPr="002E4F83" w:rsidRDefault="00F0427E" w:rsidP="00FB3C3D">
            <w:pPr>
              <w:pStyle w:val="Default"/>
              <w:rPr>
                <w:sz w:val="20"/>
                <w:szCs w:val="20"/>
              </w:rPr>
            </w:pPr>
            <w:r w:rsidRPr="002E4F83">
              <w:rPr>
                <w:b/>
                <w:sz w:val="20"/>
                <w:szCs w:val="20"/>
              </w:rPr>
              <w:t>Wave 3</w:t>
            </w:r>
            <w:r w:rsidRPr="002E4F83">
              <w:rPr>
                <w:sz w:val="20"/>
                <w:szCs w:val="20"/>
              </w:rPr>
              <w:t xml:space="preserve"> </w:t>
            </w:r>
          </w:p>
          <w:p w:rsidR="00F0427E" w:rsidRPr="002E4F83" w:rsidRDefault="00F0427E" w:rsidP="00FB3C3D">
            <w:pPr>
              <w:pStyle w:val="Default"/>
              <w:rPr>
                <w:sz w:val="20"/>
                <w:szCs w:val="20"/>
              </w:rPr>
            </w:pPr>
            <w:r w:rsidRPr="002E4F83">
              <w:rPr>
                <w:sz w:val="20"/>
                <w:szCs w:val="20"/>
              </w:rPr>
              <w:t>(2021 week 15 -2021week 46)</w:t>
            </w:r>
          </w:p>
        </w:tc>
        <w:tc>
          <w:tcPr>
            <w:tcW w:w="1696" w:type="dxa"/>
            <w:shd w:val="clear" w:color="auto" w:fill="D9D9D9" w:themeFill="background1" w:themeFillShade="D9"/>
          </w:tcPr>
          <w:p w:rsidR="00F0427E" w:rsidRPr="002E4F83" w:rsidRDefault="00F0427E" w:rsidP="00FB3C3D">
            <w:pPr>
              <w:pStyle w:val="Default"/>
              <w:rPr>
                <w:sz w:val="20"/>
                <w:szCs w:val="20"/>
              </w:rPr>
            </w:pPr>
            <w:r w:rsidRPr="002E4F83">
              <w:rPr>
                <w:b/>
                <w:sz w:val="20"/>
                <w:szCs w:val="20"/>
              </w:rPr>
              <w:t>Wave 4</w:t>
            </w:r>
            <w:r w:rsidRPr="002E4F83">
              <w:rPr>
                <w:sz w:val="20"/>
                <w:szCs w:val="20"/>
              </w:rPr>
              <w:t xml:space="preserve"> (2021 week 47- 2022 week 13)</w:t>
            </w:r>
          </w:p>
        </w:tc>
        <w:tc>
          <w:tcPr>
            <w:tcW w:w="1848" w:type="dxa"/>
            <w:shd w:val="clear" w:color="auto" w:fill="D9D9D9" w:themeFill="background1" w:themeFillShade="D9"/>
          </w:tcPr>
          <w:p w:rsidR="00F0427E" w:rsidRPr="002E4F83" w:rsidRDefault="00F0427E" w:rsidP="00FB3C3D">
            <w:pPr>
              <w:pStyle w:val="Default"/>
              <w:jc w:val="both"/>
              <w:rPr>
                <w:b/>
                <w:sz w:val="20"/>
                <w:szCs w:val="20"/>
              </w:rPr>
            </w:pPr>
            <w:r w:rsidRPr="002E4F83">
              <w:rPr>
                <w:b/>
                <w:sz w:val="20"/>
                <w:szCs w:val="20"/>
              </w:rPr>
              <w:t xml:space="preserve">Total </w:t>
            </w:r>
          </w:p>
          <w:p w:rsidR="00F0427E" w:rsidRPr="002E4F83" w:rsidRDefault="00F0427E" w:rsidP="00FB3C3D">
            <w:pPr>
              <w:pStyle w:val="Default"/>
              <w:rPr>
                <w:sz w:val="20"/>
                <w:szCs w:val="20"/>
              </w:rPr>
            </w:pPr>
            <w:r w:rsidRPr="002E4F83">
              <w:rPr>
                <w:sz w:val="20"/>
                <w:szCs w:val="20"/>
              </w:rPr>
              <w:t>(2020 week 19 - 2022 week 13)</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0-9</w:t>
            </w:r>
          </w:p>
        </w:tc>
        <w:tc>
          <w:tcPr>
            <w:tcW w:w="1673" w:type="dxa"/>
            <w:vAlign w:val="center"/>
          </w:tcPr>
          <w:p w:rsidR="00F0427E" w:rsidRPr="002E4F83" w:rsidRDefault="00F0427E" w:rsidP="00FB3C3D">
            <w:pPr>
              <w:pStyle w:val="Default"/>
              <w:rPr>
                <w:sz w:val="22"/>
                <w:szCs w:val="22"/>
              </w:rPr>
            </w:pPr>
            <w:r w:rsidRPr="002E4F83">
              <w:rPr>
                <w:sz w:val="22"/>
                <w:szCs w:val="22"/>
              </w:rPr>
              <w:t>-3 399*</w:t>
            </w:r>
          </w:p>
        </w:tc>
        <w:tc>
          <w:tcPr>
            <w:tcW w:w="1701" w:type="dxa"/>
            <w:vAlign w:val="center"/>
          </w:tcPr>
          <w:p w:rsidR="00F0427E" w:rsidRPr="002E4F83" w:rsidRDefault="00F0427E" w:rsidP="00FB3C3D">
            <w:pPr>
              <w:pStyle w:val="Default"/>
              <w:rPr>
                <w:sz w:val="22"/>
                <w:szCs w:val="22"/>
              </w:rPr>
            </w:pPr>
            <w:r w:rsidRPr="002E4F83">
              <w:rPr>
                <w:sz w:val="22"/>
                <w:szCs w:val="22"/>
              </w:rPr>
              <w:t>1 806</w:t>
            </w:r>
          </w:p>
        </w:tc>
        <w:tc>
          <w:tcPr>
            <w:tcW w:w="1706" w:type="dxa"/>
            <w:vAlign w:val="center"/>
          </w:tcPr>
          <w:p w:rsidR="00F0427E" w:rsidRPr="002E4F83" w:rsidRDefault="00F0427E" w:rsidP="00FB3C3D">
            <w:pPr>
              <w:pStyle w:val="Default"/>
              <w:rPr>
                <w:sz w:val="22"/>
                <w:szCs w:val="22"/>
              </w:rPr>
            </w:pPr>
            <w:r w:rsidRPr="002E4F83">
              <w:rPr>
                <w:sz w:val="22"/>
                <w:szCs w:val="22"/>
              </w:rPr>
              <w:t>4 540</w:t>
            </w:r>
          </w:p>
        </w:tc>
        <w:tc>
          <w:tcPr>
            <w:tcW w:w="1696" w:type="dxa"/>
            <w:vAlign w:val="center"/>
          </w:tcPr>
          <w:p w:rsidR="00F0427E" w:rsidRPr="002E4F83" w:rsidRDefault="00F0427E" w:rsidP="00FB3C3D">
            <w:pPr>
              <w:pStyle w:val="Default"/>
              <w:rPr>
                <w:sz w:val="22"/>
                <w:szCs w:val="22"/>
              </w:rPr>
            </w:pPr>
            <w:r w:rsidRPr="002E4F83">
              <w:rPr>
                <w:sz w:val="22"/>
                <w:szCs w:val="22"/>
              </w:rPr>
              <w:t>3 832</w:t>
            </w:r>
          </w:p>
        </w:tc>
        <w:tc>
          <w:tcPr>
            <w:tcW w:w="1848" w:type="dxa"/>
            <w:vAlign w:val="center"/>
          </w:tcPr>
          <w:p w:rsidR="00F0427E" w:rsidRPr="002E4F83" w:rsidRDefault="00F0427E" w:rsidP="00FB3C3D">
            <w:pPr>
              <w:pStyle w:val="Default"/>
              <w:rPr>
                <w:sz w:val="22"/>
                <w:szCs w:val="22"/>
              </w:rPr>
            </w:pPr>
            <w:r w:rsidRPr="002E4F83">
              <w:rPr>
                <w:sz w:val="22"/>
                <w:szCs w:val="22"/>
              </w:rPr>
              <w:t>6 779</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10-19</w:t>
            </w:r>
          </w:p>
        </w:tc>
        <w:tc>
          <w:tcPr>
            <w:tcW w:w="1673" w:type="dxa"/>
            <w:vAlign w:val="center"/>
          </w:tcPr>
          <w:p w:rsidR="00F0427E" w:rsidRPr="002E4F83" w:rsidRDefault="00F0427E" w:rsidP="00FB3C3D">
            <w:pPr>
              <w:pStyle w:val="Default"/>
              <w:rPr>
                <w:sz w:val="22"/>
                <w:szCs w:val="22"/>
              </w:rPr>
            </w:pPr>
            <w:r w:rsidRPr="002E4F83">
              <w:rPr>
                <w:sz w:val="22"/>
                <w:szCs w:val="22"/>
              </w:rPr>
              <w:t>183</w:t>
            </w:r>
          </w:p>
        </w:tc>
        <w:tc>
          <w:tcPr>
            <w:tcW w:w="1701" w:type="dxa"/>
            <w:vAlign w:val="center"/>
          </w:tcPr>
          <w:p w:rsidR="00F0427E" w:rsidRPr="002E4F83" w:rsidRDefault="00F0427E" w:rsidP="00FB3C3D">
            <w:pPr>
              <w:pStyle w:val="Default"/>
              <w:rPr>
                <w:sz w:val="22"/>
                <w:szCs w:val="22"/>
              </w:rPr>
            </w:pPr>
            <w:r w:rsidRPr="002E4F83">
              <w:rPr>
                <w:sz w:val="22"/>
                <w:szCs w:val="22"/>
              </w:rPr>
              <w:t>473</w:t>
            </w:r>
          </w:p>
        </w:tc>
        <w:tc>
          <w:tcPr>
            <w:tcW w:w="1706" w:type="dxa"/>
            <w:vAlign w:val="center"/>
          </w:tcPr>
          <w:p w:rsidR="00F0427E" w:rsidRPr="002E4F83" w:rsidRDefault="00F0427E" w:rsidP="00FB3C3D">
            <w:pPr>
              <w:pStyle w:val="Default"/>
              <w:rPr>
                <w:sz w:val="22"/>
                <w:szCs w:val="22"/>
              </w:rPr>
            </w:pPr>
            <w:r w:rsidRPr="002E4F83">
              <w:rPr>
                <w:sz w:val="22"/>
                <w:szCs w:val="22"/>
              </w:rPr>
              <w:t>685</w:t>
            </w:r>
          </w:p>
        </w:tc>
        <w:tc>
          <w:tcPr>
            <w:tcW w:w="1696" w:type="dxa"/>
            <w:vAlign w:val="center"/>
          </w:tcPr>
          <w:p w:rsidR="00F0427E" w:rsidRPr="002E4F83" w:rsidRDefault="00F0427E" w:rsidP="00FB3C3D">
            <w:pPr>
              <w:pStyle w:val="Default"/>
              <w:rPr>
                <w:sz w:val="22"/>
                <w:szCs w:val="22"/>
              </w:rPr>
            </w:pPr>
            <w:r w:rsidRPr="002E4F83">
              <w:rPr>
                <w:sz w:val="22"/>
                <w:szCs w:val="22"/>
              </w:rPr>
              <w:t>462</w:t>
            </w:r>
          </w:p>
        </w:tc>
        <w:tc>
          <w:tcPr>
            <w:tcW w:w="1848" w:type="dxa"/>
            <w:vAlign w:val="center"/>
          </w:tcPr>
          <w:p w:rsidR="00F0427E" w:rsidRPr="002E4F83" w:rsidRDefault="00F0427E" w:rsidP="00FB3C3D">
            <w:pPr>
              <w:pStyle w:val="Default"/>
              <w:rPr>
                <w:sz w:val="22"/>
                <w:szCs w:val="22"/>
              </w:rPr>
            </w:pPr>
            <w:r w:rsidRPr="002E4F83">
              <w:rPr>
                <w:sz w:val="22"/>
                <w:szCs w:val="22"/>
              </w:rPr>
              <w:t>1 803</w:t>
            </w:r>
          </w:p>
        </w:tc>
      </w:tr>
      <w:tr w:rsidR="00F0427E" w:rsidRPr="002E4F83" w:rsidTr="00FB3C3D">
        <w:trPr>
          <w:trHeight w:val="222"/>
        </w:trPr>
        <w:tc>
          <w:tcPr>
            <w:tcW w:w="1299" w:type="dxa"/>
          </w:tcPr>
          <w:p w:rsidR="00F0427E" w:rsidRPr="002E4F83" w:rsidRDefault="00F0427E" w:rsidP="00FB3C3D">
            <w:pPr>
              <w:pStyle w:val="Default"/>
              <w:jc w:val="both"/>
              <w:rPr>
                <w:sz w:val="22"/>
                <w:szCs w:val="22"/>
              </w:rPr>
            </w:pPr>
            <w:r w:rsidRPr="002E4F83">
              <w:rPr>
                <w:sz w:val="22"/>
                <w:szCs w:val="22"/>
              </w:rPr>
              <w:t>20-29</w:t>
            </w:r>
          </w:p>
        </w:tc>
        <w:tc>
          <w:tcPr>
            <w:tcW w:w="1673" w:type="dxa"/>
            <w:vAlign w:val="center"/>
          </w:tcPr>
          <w:p w:rsidR="00F0427E" w:rsidRPr="002E4F83" w:rsidRDefault="00F0427E" w:rsidP="00FB3C3D">
            <w:pPr>
              <w:pStyle w:val="Default"/>
              <w:rPr>
                <w:sz w:val="22"/>
                <w:szCs w:val="22"/>
              </w:rPr>
            </w:pPr>
            <w:r w:rsidRPr="002E4F83">
              <w:rPr>
                <w:sz w:val="22"/>
                <w:szCs w:val="22"/>
              </w:rPr>
              <w:t>604</w:t>
            </w:r>
          </w:p>
        </w:tc>
        <w:tc>
          <w:tcPr>
            <w:tcW w:w="1701" w:type="dxa"/>
            <w:vAlign w:val="center"/>
          </w:tcPr>
          <w:p w:rsidR="00F0427E" w:rsidRPr="002E4F83" w:rsidRDefault="00F0427E" w:rsidP="00FB3C3D">
            <w:pPr>
              <w:pStyle w:val="Default"/>
              <w:rPr>
                <w:sz w:val="22"/>
                <w:szCs w:val="22"/>
              </w:rPr>
            </w:pPr>
            <w:r w:rsidRPr="002E4F83">
              <w:rPr>
                <w:sz w:val="22"/>
                <w:szCs w:val="22"/>
              </w:rPr>
              <w:t>1 400</w:t>
            </w:r>
          </w:p>
        </w:tc>
        <w:tc>
          <w:tcPr>
            <w:tcW w:w="1706" w:type="dxa"/>
            <w:vAlign w:val="center"/>
          </w:tcPr>
          <w:p w:rsidR="00F0427E" w:rsidRPr="002E4F83" w:rsidRDefault="00F0427E" w:rsidP="00FB3C3D">
            <w:pPr>
              <w:pStyle w:val="Default"/>
              <w:rPr>
                <w:sz w:val="22"/>
                <w:szCs w:val="22"/>
              </w:rPr>
            </w:pPr>
            <w:r w:rsidRPr="002E4F83">
              <w:rPr>
                <w:sz w:val="22"/>
                <w:szCs w:val="22"/>
              </w:rPr>
              <w:t>1 857</w:t>
            </w:r>
          </w:p>
        </w:tc>
        <w:tc>
          <w:tcPr>
            <w:tcW w:w="1696" w:type="dxa"/>
            <w:vAlign w:val="center"/>
          </w:tcPr>
          <w:p w:rsidR="00F0427E" w:rsidRPr="002E4F83" w:rsidRDefault="00F0427E" w:rsidP="00FB3C3D">
            <w:pPr>
              <w:pStyle w:val="Default"/>
              <w:rPr>
                <w:sz w:val="22"/>
                <w:szCs w:val="22"/>
              </w:rPr>
            </w:pPr>
            <w:r w:rsidRPr="002E4F83">
              <w:rPr>
                <w:sz w:val="22"/>
                <w:szCs w:val="22"/>
              </w:rPr>
              <w:t>848</w:t>
            </w:r>
          </w:p>
        </w:tc>
        <w:tc>
          <w:tcPr>
            <w:tcW w:w="1848" w:type="dxa"/>
            <w:vAlign w:val="center"/>
          </w:tcPr>
          <w:p w:rsidR="00F0427E" w:rsidRPr="002E4F83" w:rsidRDefault="00F0427E" w:rsidP="00FB3C3D">
            <w:pPr>
              <w:pStyle w:val="Default"/>
              <w:rPr>
                <w:sz w:val="22"/>
                <w:szCs w:val="22"/>
              </w:rPr>
            </w:pPr>
            <w:r w:rsidRPr="002E4F83">
              <w:rPr>
                <w:sz w:val="22"/>
                <w:szCs w:val="22"/>
              </w:rPr>
              <w:t>4 709</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30-39</w:t>
            </w:r>
          </w:p>
        </w:tc>
        <w:tc>
          <w:tcPr>
            <w:tcW w:w="1673" w:type="dxa"/>
            <w:vAlign w:val="center"/>
          </w:tcPr>
          <w:p w:rsidR="00F0427E" w:rsidRPr="002E4F83" w:rsidRDefault="00F0427E" w:rsidP="00FB3C3D">
            <w:pPr>
              <w:pStyle w:val="Default"/>
              <w:rPr>
                <w:sz w:val="22"/>
                <w:szCs w:val="22"/>
              </w:rPr>
            </w:pPr>
            <w:r w:rsidRPr="002E4F83">
              <w:rPr>
                <w:sz w:val="22"/>
                <w:szCs w:val="22"/>
              </w:rPr>
              <w:t>-533*</w:t>
            </w:r>
          </w:p>
        </w:tc>
        <w:tc>
          <w:tcPr>
            <w:tcW w:w="1701" w:type="dxa"/>
            <w:vAlign w:val="center"/>
          </w:tcPr>
          <w:p w:rsidR="00F0427E" w:rsidRPr="002E4F83" w:rsidRDefault="00F0427E" w:rsidP="00FB3C3D">
            <w:pPr>
              <w:pStyle w:val="Default"/>
              <w:rPr>
                <w:sz w:val="22"/>
                <w:szCs w:val="22"/>
              </w:rPr>
            </w:pPr>
            <w:r w:rsidRPr="002E4F83">
              <w:rPr>
                <w:sz w:val="22"/>
                <w:szCs w:val="22"/>
              </w:rPr>
              <w:t>1 381</w:t>
            </w:r>
          </w:p>
        </w:tc>
        <w:tc>
          <w:tcPr>
            <w:tcW w:w="1706" w:type="dxa"/>
            <w:vAlign w:val="center"/>
          </w:tcPr>
          <w:p w:rsidR="00F0427E" w:rsidRPr="002E4F83" w:rsidRDefault="00F0427E" w:rsidP="00FB3C3D">
            <w:pPr>
              <w:pStyle w:val="Default"/>
              <w:rPr>
                <w:sz w:val="22"/>
                <w:szCs w:val="22"/>
              </w:rPr>
            </w:pPr>
            <w:r w:rsidRPr="002E4F83">
              <w:rPr>
                <w:sz w:val="22"/>
                <w:szCs w:val="22"/>
              </w:rPr>
              <w:t>475</w:t>
            </w:r>
          </w:p>
        </w:tc>
        <w:tc>
          <w:tcPr>
            <w:tcW w:w="1696" w:type="dxa"/>
            <w:vAlign w:val="center"/>
          </w:tcPr>
          <w:p w:rsidR="00F0427E" w:rsidRPr="002E4F83" w:rsidRDefault="00F0427E" w:rsidP="00FB3C3D">
            <w:pPr>
              <w:pStyle w:val="Default"/>
              <w:rPr>
                <w:sz w:val="22"/>
                <w:szCs w:val="22"/>
              </w:rPr>
            </w:pPr>
            <w:r w:rsidRPr="002E4F83">
              <w:rPr>
                <w:sz w:val="22"/>
                <w:szCs w:val="22"/>
              </w:rPr>
              <w:t>-452*</w:t>
            </w:r>
          </w:p>
        </w:tc>
        <w:tc>
          <w:tcPr>
            <w:tcW w:w="1848" w:type="dxa"/>
            <w:vAlign w:val="center"/>
          </w:tcPr>
          <w:p w:rsidR="00F0427E" w:rsidRPr="002E4F83" w:rsidRDefault="00F0427E" w:rsidP="00FB3C3D">
            <w:pPr>
              <w:pStyle w:val="Default"/>
              <w:rPr>
                <w:sz w:val="22"/>
                <w:szCs w:val="22"/>
              </w:rPr>
            </w:pPr>
            <w:r w:rsidRPr="002E4F83">
              <w:rPr>
                <w:sz w:val="22"/>
                <w:szCs w:val="22"/>
              </w:rPr>
              <w:t>871</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40-49</w:t>
            </w:r>
          </w:p>
        </w:tc>
        <w:tc>
          <w:tcPr>
            <w:tcW w:w="1673" w:type="dxa"/>
            <w:vAlign w:val="center"/>
          </w:tcPr>
          <w:p w:rsidR="00F0427E" w:rsidRPr="002E4F83" w:rsidRDefault="00F0427E" w:rsidP="00FB3C3D">
            <w:pPr>
              <w:pStyle w:val="Default"/>
              <w:rPr>
                <w:sz w:val="22"/>
                <w:szCs w:val="22"/>
              </w:rPr>
            </w:pPr>
            <w:r w:rsidRPr="002E4F83">
              <w:rPr>
                <w:sz w:val="22"/>
                <w:szCs w:val="22"/>
              </w:rPr>
              <w:t>1 675</w:t>
            </w:r>
          </w:p>
        </w:tc>
        <w:tc>
          <w:tcPr>
            <w:tcW w:w="1701" w:type="dxa"/>
            <w:vAlign w:val="center"/>
          </w:tcPr>
          <w:p w:rsidR="00F0427E" w:rsidRPr="002E4F83" w:rsidRDefault="00F0427E" w:rsidP="00FB3C3D">
            <w:pPr>
              <w:pStyle w:val="Default"/>
              <w:rPr>
                <w:sz w:val="22"/>
                <w:szCs w:val="22"/>
              </w:rPr>
            </w:pPr>
            <w:r w:rsidRPr="002E4F83">
              <w:rPr>
                <w:sz w:val="22"/>
                <w:szCs w:val="22"/>
              </w:rPr>
              <w:t>6 200</w:t>
            </w:r>
          </w:p>
        </w:tc>
        <w:tc>
          <w:tcPr>
            <w:tcW w:w="1706" w:type="dxa"/>
            <w:vAlign w:val="center"/>
          </w:tcPr>
          <w:p w:rsidR="00F0427E" w:rsidRPr="002E4F83" w:rsidRDefault="00F0427E" w:rsidP="00FB3C3D">
            <w:pPr>
              <w:pStyle w:val="Default"/>
              <w:rPr>
                <w:sz w:val="22"/>
                <w:szCs w:val="22"/>
              </w:rPr>
            </w:pPr>
            <w:r w:rsidRPr="002E4F83">
              <w:rPr>
                <w:sz w:val="22"/>
                <w:szCs w:val="22"/>
              </w:rPr>
              <w:t>6 020</w:t>
            </w:r>
          </w:p>
        </w:tc>
        <w:tc>
          <w:tcPr>
            <w:tcW w:w="1696" w:type="dxa"/>
            <w:vAlign w:val="center"/>
          </w:tcPr>
          <w:p w:rsidR="00F0427E" w:rsidRPr="002E4F83" w:rsidRDefault="00F0427E" w:rsidP="00FB3C3D">
            <w:pPr>
              <w:pStyle w:val="Default"/>
              <w:rPr>
                <w:sz w:val="22"/>
                <w:szCs w:val="22"/>
              </w:rPr>
            </w:pPr>
            <w:r w:rsidRPr="002E4F83">
              <w:rPr>
                <w:sz w:val="22"/>
                <w:szCs w:val="22"/>
              </w:rPr>
              <w:t>478</w:t>
            </w:r>
          </w:p>
        </w:tc>
        <w:tc>
          <w:tcPr>
            <w:tcW w:w="1848" w:type="dxa"/>
            <w:vAlign w:val="center"/>
          </w:tcPr>
          <w:p w:rsidR="00F0427E" w:rsidRPr="002E4F83" w:rsidRDefault="00F0427E" w:rsidP="00FB3C3D">
            <w:pPr>
              <w:pStyle w:val="Default"/>
              <w:rPr>
                <w:sz w:val="22"/>
                <w:szCs w:val="22"/>
              </w:rPr>
            </w:pPr>
            <w:r w:rsidRPr="002E4F83">
              <w:rPr>
                <w:sz w:val="22"/>
                <w:szCs w:val="22"/>
              </w:rPr>
              <w:t>14 373</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50-59</w:t>
            </w:r>
          </w:p>
        </w:tc>
        <w:tc>
          <w:tcPr>
            <w:tcW w:w="1673" w:type="dxa"/>
            <w:vAlign w:val="center"/>
          </w:tcPr>
          <w:p w:rsidR="00F0427E" w:rsidRPr="002E4F83" w:rsidRDefault="00F0427E" w:rsidP="00FB3C3D">
            <w:pPr>
              <w:pStyle w:val="Default"/>
              <w:rPr>
                <w:sz w:val="22"/>
                <w:szCs w:val="22"/>
              </w:rPr>
            </w:pPr>
            <w:r w:rsidRPr="002E4F83">
              <w:rPr>
                <w:sz w:val="22"/>
                <w:szCs w:val="22"/>
              </w:rPr>
              <w:t>8 554</w:t>
            </w:r>
          </w:p>
        </w:tc>
        <w:tc>
          <w:tcPr>
            <w:tcW w:w="1701" w:type="dxa"/>
            <w:vAlign w:val="center"/>
          </w:tcPr>
          <w:p w:rsidR="00F0427E" w:rsidRPr="002E4F83" w:rsidRDefault="00F0427E" w:rsidP="00FB3C3D">
            <w:pPr>
              <w:pStyle w:val="Default"/>
              <w:rPr>
                <w:sz w:val="22"/>
                <w:szCs w:val="22"/>
              </w:rPr>
            </w:pPr>
            <w:r w:rsidRPr="002E4F83">
              <w:rPr>
                <w:sz w:val="22"/>
                <w:szCs w:val="22"/>
              </w:rPr>
              <w:t>18 448</w:t>
            </w:r>
          </w:p>
        </w:tc>
        <w:tc>
          <w:tcPr>
            <w:tcW w:w="1706" w:type="dxa"/>
            <w:vAlign w:val="center"/>
          </w:tcPr>
          <w:p w:rsidR="00F0427E" w:rsidRPr="002E4F83" w:rsidRDefault="00F0427E" w:rsidP="00FB3C3D">
            <w:pPr>
              <w:pStyle w:val="Default"/>
              <w:rPr>
                <w:sz w:val="22"/>
                <w:szCs w:val="22"/>
              </w:rPr>
            </w:pPr>
            <w:r w:rsidRPr="002E4F83">
              <w:rPr>
                <w:sz w:val="22"/>
                <w:szCs w:val="22"/>
              </w:rPr>
              <w:t>21 243</w:t>
            </w:r>
          </w:p>
        </w:tc>
        <w:tc>
          <w:tcPr>
            <w:tcW w:w="1696" w:type="dxa"/>
            <w:vAlign w:val="center"/>
          </w:tcPr>
          <w:p w:rsidR="00F0427E" w:rsidRPr="002E4F83" w:rsidRDefault="00F0427E" w:rsidP="00FB3C3D">
            <w:pPr>
              <w:pStyle w:val="Default"/>
              <w:rPr>
                <w:sz w:val="22"/>
                <w:szCs w:val="22"/>
              </w:rPr>
            </w:pPr>
            <w:r w:rsidRPr="002E4F83">
              <w:rPr>
                <w:sz w:val="22"/>
                <w:szCs w:val="22"/>
              </w:rPr>
              <w:t>3 850</w:t>
            </w:r>
          </w:p>
        </w:tc>
        <w:tc>
          <w:tcPr>
            <w:tcW w:w="1848" w:type="dxa"/>
            <w:vAlign w:val="center"/>
          </w:tcPr>
          <w:p w:rsidR="00F0427E" w:rsidRPr="002E4F83" w:rsidRDefault="00F0427E" w:rsidP="00FB3C3D">
            <w:pPr>
              <w:pStyle w:val="Default"/>
              <w:rPr>
                <w:sz w:val="22"/>
                <w:szCs w:val="22"/>
              </w:rPr>
            </w:pPr>
            <w:r w:rsidRPr="002E4F83">
              <w:rPr>
                <w:sz w:val="22"/>
                <w:szCs w:val="22"/>
              </w:rPr>
              <w:t>52 095</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60-69</w:t>
            </w:r>
          </w:p>
        </w:tc>
        <w:tc>
          <w:tcPr>
            <w:tcW w:w="1673" w:type="dxa"/>
            <w:vAlign w:val="center"/>
          </w:tcPr>
          <w:p w:rsidR="00F0427E" w:rsidRPr="002E4F83" w:rsidRDefault="00F0427E" w:rsidP="00FB3C3D">
            <w:pPr>
              <w:pStyle w:val="Default"/>
              <w:rPr>
                <w:sz w:val="22"/>
                <w:szCs w:val="22"/>
              </w:rPr>
            </w:pPr>
            <w:r w:rsidRPr="002E4F83">
              <w:rPr>
                <w:sz w:val="22"/>
                <w:szCs w:val="22"/>
              </w:rPr>
              <w:t>14 428</w:t>
            </w:r>
          </w:p>
        </w:tc>
        <w:tc>
          <w:tcPr>
            <w:tcW w:w="1701" w:type="dxa"/>
            <w:vAlign w:val="center"/>
          </w:tcPr>
          <w:p w:rsidR="00F0427E" w:rsidRPr="002E4F83" w:rsidRDefault="00F0427E" w:rsidP="00FB3C3D">
            <w:pPr>
              <w:pStyle w:val="Default"/>
              <w:rPr>
                <w:sz w:val="22"/>
                <w:szCs w:val="22"/>
              </w:rPr>
            </w:pPr>
            <w:r w:rsidRPr="002E4F83">
              <w:rPr>
                <w:sz w:val="22"/>
                <w:szCs w:val="22"/>
              </w:rPr>
              <w:t>30 219</w:t>
            </w:r>
          </w:p>
        </w:tc>
        <w:tc>
          <w:tcPr>
            <w:tcW w:w="1706" w:type="dxa"/>
            <w:vAlign w:val="center"/>
          </w:tcPr>
          <w:p w:rsidR="00F0427E" w:rsidRPr="002E4F83" w:rsidRDefault="00F0427E" w:rsidP="00FB3C3D">
            <w:pPr>
              <w:pStyle w:val="Default"/>
              <w:rPr>
                <w:sz w:val="22"/>
                <w:szCs w:val="22"/>
              </w:rPr>
            </w:pPr>
            <w:r w:rsidRPr="002E4F83">
              <w:rPr>
                <w:sz w:val="22"/>
                <w:szCs w:val="22"/>
              </w:rPr>
              <w:t>29 426</w:t>
            </w:r>
          </w:p>
        </w:tc>
        <w:tc>
          <w:tcPr>
            <w:tcW w:w="1696" w:type="dxa"/>
            <w:vAlign w:val="center"/>
          </w:tcPr>
          <w:p w:rsidR="00F0427E" w:rsidRPr="002E4F83" w:rsidRDefault="00F0427E" w:rsidP="00FB3C3D">
            <w:pPr>
              <w:pStyle w:val="Default"/>
              <w:rPr>
                <w:sz w:val="22"/>
                <w:szCs w:val="22"/>
              </w:rPr>
            </w:pPr>
            <w:r w:rsidRPr="002E4F83">
              <w:rPr>
                <w:sz w:val="22"/>
                <w:szCs w:val="22"/>
              </w:rPr>
              <w:t>6 642</w:t>
            </w:r>
          </w:p>
        </w:tc>
        <w:tc>
          <w:tcPr>
            <w:tcW w:w="1848" w:type="dxa"/>
            <w:vAlign w:val="center"/>
          </w:tcPr>
          <w:p w:rsidR="00F0427E" w:rsidRPr="002E4F83" w:rsidRDefault="00F0427E" w:rsidP="00FB3C3D">
            <w:pPr>
              <w:pStyle w:val="Default"/>
              <w:rPr>
                <w:sz w:val="22"/>
                <w:szCs w:val="22"/>
              </w:rPr>
            </w:pPr>
            <w:r w:rsidRPr="002E4F83">
              <w:rPr>
                <w:sz w:val="22"/>
                <w:szCs w:val="22"/>
              </w:rPr>
              <w:t>80 715</w:t>
            </w:r>
          </w:p>
        </w:tc>
      </w:tr>
      <w:tr w:rsidR="00F0427E" w:rsidRPr="002E4F83" w:rsidTr="00FB3C3D">
        <w:trPr>
          <w:trHeight w:val="222"/>
        </w:trPr>
        <w:tc>
          <w:tcPr>
            <w:tcW w:w="1299" w:type="dxa"/>
          </w:tcPr>
          <w:p w:rsidR="00F0427E" w:rsidRPr="002E4F83" w:rsidRDefault="00F0427E" w:rsidP="00FB3C3D">
            <w:pPr>
              <w:pStyle w:val="Default"/>
              <w:jc w:val="both"/>
              <w:rPr>
                <w:sz w:val="22"/>
                <w:szCs w:val="22"/>
              </w:rPr>
            </w:pPr>
            <w:r w:rsidRPr="002E4F83">
              <w:rPr>
                <w:sz w:val="22"/>
                <w:szCs w:val="22"/>
              </w:rPr>
              <w:lastRenderedPageBreak/>
              <w:t>70-79</w:t>
            </w:r>
          </w:p>
        </w:tc>
        <w:tc>
          <w:tcPr>
            <w:tcW w:w="1673" w:type="dxa"/>
            <w:vAlign w:val="center"/>
          </w:tcPr>
          <w:p w:rsidR="00F0427E" w:rsidRPr="002E4F83" w:rsidRDefault="00F0427E" w:rsidP="00FB3C3D">
            <w:pPr>
              <w:pStyle w:val="Default"/>
              <w:rPr>
                <w:sz w:val="22"/>
                <w:szCs w:val="22"/>
              </w:rPr>
            </w:pPr>
            <w:r w:rsidRPr="002E4F83">
              <w:rPr>
                <w:sz w:val="22"/>
                <w:szCs w:val="22"/>
              </w:rPr>
              <w:t>14 026</w:t>
            </w:r>
          </w:p>
        </w:tc>
        <w:tc>
          <w:tcPr>
            <w:tcW w:w="1701" w:type="dxa"/>
            <w:vAlign w:val="center"/>
          </w:tcPr>
          <w:p w:rsidR="00F0427E" w:rsidRPr="002E4F83" w:rsidRDefault="00F0427E" w:rsidP="00FB3C3D">
            <w:pPr>
              <w:pStyle w:val="Default"/>
              <w:rPr>
                <w:sz w:val="22"/>
                <w:szCs w:val="22"/>
              </w:rPr>
            </w:pPr>
            <w:r w:rsidRPr="002E4F83">
              <w:rPr>
                <w:sz w:val="22"/>
                <w:szCs w:val="22"/>
              </w:rPr>
              <w:t>26 362</w:t>
            </w:r>
          </w:p>
        </w:tc>
        <w:tc>
          <w:tcPr>
            <w:tcW w:w="1706" w:type="dxa"/>
            <w:vAlign w:val="center"/>
          </w:tcPr>
          <w:p w:rsidR="00F0427E" w:rsidRPr="002E4F83" w:rsidRDefault="00F0427E" w:rsidP="00FB3C3D">
            <w:pPr>
              <w:pStyle w:val="Default"/>
              <w:rPr>
                <w:sz w:val="22"/>
                <w:szCs w:val="22"/>
              </w:rPr>
            </w:pPr>
            <w:r w:rsidRPr="002E4F83">
              <w:rPr>
                <w:sz w:val="22"/>
                <w:szCs w:val="22"/>
              </w:rPr>
              <w:t>29 792</w:t>
            </w:r>
          </w:p>
        </w:tc>
        <w:tc>
          <w:tcPr>
            <w:tcW w:w="1696" w:type="dxa"/>
            <w:vAlign w:val="center"/>
          </w:tcPr>
          <w:p w:rsidR="00F0427E" w:rsidRPr="002E4F83" w:rsidRDefault="00F0427E" w:rsidP="00FB3C3D">
            <w:pPr>
              <w:pStyle w:val="Default"/>
              <w:rPr>
                <w:sz w:val="22"/>
                <w:szCs w:val="22"/>
              </w:rPr>
            </w:pPr>
            <w:r w:rsidRPr="002E4F83">
              <w:rPr>
                <w:sz w:val="22"/>
                <w:szCs w:val="22"/>
              </w:rPr>
              <w:t>6 927</w:t>
            </w:r>
          </w:p>
        </w:tc>
        <w:tc>
          <w:tcPr>
            <w:tcW w:w="1848" w:type="dxa"/>
            <w:vAlign w:val="center"/>
          </w:tcPr>
          <w:p w:rsidR="00F0427E" w:rsidRPr="002E4F83" w:rsidRDefault="00F0427E" w:rsidP="00FB3C3D">
            <w:pPr>
              <w:pStyle w:val="Default"/>
              <w:rPr>
                <w:sz w:val="22"/>
                <w:szCs w:val="22"/>
              </w:rPr>
            </w:pPr>
            <w:r w:rsidRPr="002E4F83">
              <w:rPr>
                <w:sz w:val="22"/>
                <w:szCs w:val="22"/>
              </w:rPr>
              <w:t>77 107</w:t>
            </w:r>
          </w:p>
        </w:tc>
      </w:tr>
      <w:tr w:rsidR="00F0427E" w:rsidRPr="002E4F83" w:rsidTr="00FB3C3D">
        <w:trPr>
          <w:trHeight w:val="212"/>
        </w:trPr>
        <w:tc>
          <w:tcPr>
            <w:tcW w:w="1299" w:type="dxa"/>
          </w:tcPr>
          <w:p w:rsidR="00F0427E" w:rsidRPr="002E4F83" w:rsidRDefault="00F0427E" w:rsidP="00FB3C3D">
            <w:pPr>
              <w:pStyle w:val="Default"/>
              <w:jc w:val="both"/>
              <w:rPr>
                <w:sz w:val="22"/>
                <w:szCs w:val="22"/>
              </w:rPr>
            </w:pPr>
            <w:r w:rsidRPr="002E4F83">
              <w:rPr>
                <w:sz w:val="22"/>
                <w:szCs w:val="22"/>
              </w:rPr>
              <w:t>80+</w:t>
            </w:r>
          </w:p>
        </w:tc>
        <w:tc>
          <w:tcPr>
            <w:tcW w:w="1673" w:type="dxa"/>
            <w:vAlign w:val="center"/>
          </w:tcPr>
          <w:p w:rsidR="00F0427E" w:rsidRPr="002E4F83" w:rsidRDefault="00F0427E" w:rsidP="00FB3C3D">
            <w:pPr>
              <w:pStyle w:val="Default"/>
              <w:rPr>
                <w:sz w:val="22"/>
                <w:szCs w:val="22"/>
              </w:rPr>
            </w:pPr>
            <w:r w:rsidRPr="002E4F83">
              <w:rPr>
                <w:sz w:val="22"/>
                <w:szCs w:val="22"/>
              </w:rPr>
              <w:t>13 107</w:t>
            </w:r>
          </w:p>
        </w:tc>
        <w:tc>
          <w:tcPr>
            <w:tcW w:w="1701" w:type="dxa"/>
            <w:vAlign w:val="center"/>
          </w:tcPr>
          <w:p w:rsidR="00F0427E" w:rsidRPr="002E4F83" w:rsidRDefault="00F0427E" w:rsidP="00FB3C3D">
            <w:pPr>
              <w:pStyle w:val="Default"/>
              <w:rPr>
                <w:sz w:val="22"/>
                <w:szCs w:val="22"/>
              </w:rPr>
            </w:pPr>
            <w:r w:rsidRPr="002E4F83">
              <w:rPr>
                <w:sz w:val="22"/>
                <w:szCs w:val="22"/>
              </w:rPr>
              <w:t>20 010</w:t>
            </w:r>
          </w:p>
        </w:tc>
        <w:tc>
          <w:tcPr>
            <w:tcW w:w="1706" w:type="dxa"/>
            <w:vAlign w:val="center"/>
          </w:tcPr>
          <w:p w:rsidR="00F0427E" w:rsidRPr="002E4F83" w:rsidRDefault="00F0427E" w:rsidP="00FB3C3D">
            <w:pPr>
              <w:pStyle w:val="Default"/>
              <w:rPr>
                <w:sz w:val="22"/>
                <w:szCs w:val="22"/>
              </w:rPr>
            </w:pPr>
            <w:r w:rsidRPr="002E4F83">
              <w:rPr>
                <w:sz w:val="22"/>
                <w:szCs w:val="22"/>
              </w:rPr>
              <w:t>26 600</w:t>
            </w:r>
          </w:p>
        </w:tc>
        <w:tc>
          <w:tcPr>
            <w:tcW w:w="1696" w:type="dxa"/>
            <w:vAlign w:val="center"/>
          </w:tcPr>
          <w:p w:rsidR="00F0427E" w:rsidRPr="002E4F83" w:rsidRDefault="00F0427E" w:rsidP="00FB3C3D">
            <w:pPr>
              <w:pStyle w:val="Default"/>
              <w:rPr>
                <w:sz w:val="22"/>
                <w:szCs w:val="22"/>
              </w:rPr>
            </w:pPr>
            <w:r w:rsidRPr="002E4F83">
              <w:rPr>
                <w:sz w:val="22"/>
                <w:szCs w:val="22"/>
              </w:rPr>
              <w:t>7 766</w:t>
            </w:r>
          </w:p>
        </w:tc>
        <w:tc>
          <w:tcPr>
            <w:tcW w:w="1848" w:type="dxa"/>
            <w:vAlign w:val="center"/>
          </w:tcPr>
          <w:p w:rsidR="00F0427E" w:rsidRPr="002E4F83" w:rsidRDefault="00F0427E" w:rsidP="00FB3C3D">
            <w:pPr>
              <w:pStyle w:val="Default"/>
              <w:rPr>
                <w:sz w:val="22"/>
                <w:szCs w:val="22"/>
              </w:rPr>
            </w:pPr>
            <w:r w:rsidRPr="002E4F83">
              <w:rPr>
                <w:sz w:val="22"/>
                <w:szCs w:val="22"/>
              </w:rPr>
              <w:t>67 483</w:t>
            </w:r>
          </w:p>
        </w:tc>
      </w:tr>
      <w:tr w:rsidR="00F0427E" w:rsidRPr="002E4F83" w:rsidTr="00FB3C3D">
        <w:trPr>
          <w:trHeight w:val="212"/>
        </w:trPr>
        <w:tc>
          <w:tcPr>
            <w:tcW w:w="1299" w:type="dxa"/>
          </w:tcPr>
          <w:p w:rsidR="00F0427E" w:rsidRPr="002E4F83" w:rsidRDefault="00F0427E" w:rsidP="00FB3C3D">
            <w:pPr>
              <w:pStyle w:val="Default"/>
              <w:jc w:val="both"/>
              <w:rPr>
                <w:b/>
                <w:sz w:val="22"/>
                <w:szCs w:val="22"/>
              </w:rPr>
            </w:pPr>
            <w:r w:rsidRPr="002E4F83">
              <w:rPr>
                <w:b/>
                <w:sz w:val="22"/>
                <w:szCs w:val="22"/>
              </w:rPr>
              <w:t xml:space="preserve">Total </w:t>
            </w:r>
          </w:p>
        </w:tc>
        <w:tc>
          <w:tcPr>
            <w:tcW w:w="1673" w:type="dxa"/>
            <w:vAlign w:val="center"/>
          </w:tcPr>
          <w:p w:rsidR="00F0427E" w:rsidRPr="002E4F83" w:rsidRDefault="00F0427E" w:rsidP="00FB3C3D">
            <w:pPr>
              <w:pStyle w:val="Default"/>
              <w:rPr>
                <w:b/>
                <w:sz w:val="22"/>
                <w:szCs w:val="22"/>
              </w:rPr>
            </w:pPr>
            <w:r w:rsidRPr="002E4F83">
              <w:rPr>
                <w:b/>
                <w:sz w:val="22"/>
                <w:szCs w:val="22"/>
              </w:rPr>
              <w:t>48 647</w:t>
            </w:r>
          </w:p>
        </w:tc>
        <w:tc>
          <w:tcPr>
            <w:tcW w:w="1701" w:type="dxa"/>
            <w:vAlign w:val="center"/>
          </w:tcPr>
          <w:p w:rsidR="00F0427E" w:rsidRPr="002E4F83" w:rsidRDefault="00F0427E" w:rsidP="00FB3C3D">
            <w:pPr>
              <w:pStyle w:val="Default"/>
              <w:rPr>
                <w:b/>
                <w:sz w:val="22"/>
                <w:szCs w:val="22"/>
              </w:rPr>
            </w:pPr>
            <w:r w:rsidRPr="002E4F83">
              <w:rPr>
                <w:b/>
                <w:sz w:val="22"/>
                <w:szCs w:val="22"/>
              </w:rPr>
              <w:t>106 298</w:t>
            </w:r>
          </w:p>
        </w:tc>
        <w:tc>
          <w:tcPr>
            <w:tcW w:w="1706" w:type="dxa"/>
            <w:vAlign w:val="center"/>
          </w:tcPr>
          <w:p w:rsidR="00F0427E" w:rsidRPr="002E4F83" w:rsidRDefault="00F0427E" w:rsidP="00FB3C3D">
            <w:pPr>
              <w:pStyle w:val="Default"/>
              <w:rPr>
                <w:b/>
                <w:sz w:val="22"/>
                <w:szCs w:val="22"/>
              </w:rPr>
            </w:pPr>
            <w:r w:rsidRPr="002E4F83">
              <w:rPr>
                <w:b/>
                <w:sz w:val="22"/>
                <w:szCs w:val="22"/>
              </w:rPr>
              <w:t>120 640</w:t>
            </w:r>
          </w:p>
        </w:tc>
        <w:tc>
          <w:tcPr>
            <w:tcW w:w="1696" w:type="dxa"/>
            <w:vAlign w:val="center"/>
          </w:tcPr>
          <w:p w:rsidR="00F0427E" w:rsidRPr="002E4F83" w:rsidRDefault="00F0427E" w:rsidP="00FB3C3D">
            <w:pPr>
              <w:pStyle w:val="Default"/>
              <w:rPr>
                <w:b/>
                <w:sz w:val="22"/>
                <w:szCs w:val="22"/>
              </w:rPr>
            </w:pPr>
            <w:r w:rsidRPr="002E4F83">
              <w:rPr>
                <w:b/>
                <w:sz w:val="22"/>
                <w:szCs w:val="22"/>
              </w:rPr>
              <w:t>30 353</w:t>
            </w:r>
          </w:p>
        </w:tc>
        <w:tc>
          <w:tcPr>
            <w:tcW w:w="1848" w:type="dxa"/>
            <w:vAlign w:val="center"/>
          </w:tcPr>
          <w:p w:rsidR="00F0427E" w:rsidRPr="002E4F83" w:rsidRDefault="00F0427E" w:rsidP="00FB3C3D">
            <w:pPr>
              <w:pStyle w:val="Default"/>
              <w:rPr>
                <w:b/>
                <w:sz w:val="22"/>
                <w:szCs w:val="22"/>
              </w:rPr>
            </w:pPr>
            <w:r w:rsidRPr="002E4F83">
              <w:rPr>
                <w:b/>
                <w:sz w:val="22"/>
                <w:szCs w:val="22"/>
              </w:rPr>
              <w:t>305 938</w:t>
            </w:r>
          </w:p>
        </w:tc>
      </w:tr>
    </w:tbl>
    <w:p w:rsidR="00F0427E" w:rsidRPr="009457C8" w:rsidRDefault="00F0427E" w:rsidP="00F0427E">
      <w:pPr>
        <w:pStyle w:val="Default"/>
        <w:jc w:val="both"/>
        <w:rPr>
          <w:b/>
          <w:color w:val="auto"/>
          <w:sz w:val="18"/>
          <w:szCs w:val="22"/>
        </w:rPr>
      </w:pPr>
      <w:r>
        <w:rPr>
          <w:b/>
          <w:color w:val="auto"/>
          <w:sz w:val="18"/>
          <w:szCs w:val="22"/>
        </w:rPr>
        <w:tab/>
      </w:r>
      <w:r w:rsidRPr="009457C8">
        <w:rPr>
          <w:b/>
          <w:color w:val="auto"/>
          <w:sz w:val="18"/>
          <w:szCs w:val="22"/>
        </w:rPr>
        <w:t>Table A</w:t>
      </w:r>
    </w:p>
    <w:p w:rsidR="00F0427E" w:rsidRPr="00EE71E2" w:rsidRDefault="00F0427E" w:rsidP="00F0427E">
      <w:pPr>
        <w:pStyle w:val="Default"/>
        <w:jc w:val="both"/>
        <w:rPr>
          <w:color w:val="auto"/>
          <w:sz w:val="18"/>
          <w:szCs w:val="18"/>
        </w:rPr>
      </w:pPr>
      <w:r w:rsidRPr="00EE71E2">
        <w:rPr>
          <w:color w:val="auto"/>
          <w:sz w:val="18"/>
          <w:szCs w:val="18"/>
        </w:rPr>
        <w:t xml:space="preserve">* </w:t>
      </w:r>
      <w:proofErr w:type="gramStart"/>
      <w:r w:rsidRPr="00EE71E2">
        <w:rPr>
          <w:color w:val="auto"/>
          <w:sz w:val="18"/>
          <w:szCs w:val="18"/>
        </w:rPr>
        <w:t>negative</w:t>
      </w:r>
      <w:proofErr w:type="gramEnd"/>
      <w:r w:rsidRPr="00EE71E2">
        <w:rPr>
          <w:color w:val="auto"/>
          <w:sz w:val="18"/>
          <w:szCs w:val="18"/>
        </w:rPr>
        <w:t xml:space="preserve"> values were reported where the deaths were lower than the baseline</w:t>
      </w:r>
    </w:p>
    <w:p w:rsidR="00F0427E" w:rsidRPr="00EE71E2" w:rsidRDefault="00F0427E" w:rsidP="00F0427E">
      <w:pPr>
        <w:pStyle w:val="Default"/>
        <w:jc w:val="both"/>
        <w:rPr>
          <w:color w:val="auto"/>
          <w:sz w:val="18"/>
          <w:szCs w:val="18"/>
        </w:rPr>
      </w:pPr>
      <w:r w:rsidRPr="00EE71E2">
        <w:rPr>
          <w:color w:val="auto"/>
          <w:sz w:val="18"/>
          <w:szCs w:val="18"/>
        </w:rPr>
        <w:t>(i.e., no excess death for that period)</w:t>
      </w:r>
    </w:p>
    <w:p w:rsidR="00F0427E" w:rsidRDefault="00F0427E" w:rsidP="00F0427E">
      <w:pPr>
        <w:ind w:left="153"/>
        <w:jc w:val="both"/>
      </w:pPr>
    </w:p>
    <w:p w:rsidR="00F0427E" w:rsidRDefault="00F0427E" w:rsidP="00F0427E">
      <w:pPr>
        <w:ind w:left="153"/>
        <w:jc w:val="both"/>
      </w:pPr>
      <w:r w:rsidRPr="001F7E94">
        <w:t>Table</w:t>
      </w:r>
      <w:r>
        <w:t xml:space="preserve"> B</w:t>
      </w:r>
      <w:r w:rsidRPr="001F7E94">
        <w:t xml:space="preserve"> below shows excess death rates </w:t>
      </w:r>
      <w:r w:rsidRPr="007A27A0">
        <w:t>adjusted for differences in the age structure in each province</w:t>
      </w:r>
      <w:r>
        <w:t xml:space="preserve">. This data is from </w:t>
      </w:r>
      <w:r w:rsidRPr="001F7E94">
        <w:t xml:space="preserve">a peer reviewed </w:t>
      </w:r>
      <w:proofErr w:type="gramStart"/>
      <w:r w:rsidRPr="001F7E94">
        <w:t xml:space="preserve">publication  </w:t>
      </w:r>
      <w:r>
        <w:t>scheduled</w:t>
      </w:r>
      <w:proofErr w:type="gramEnd"/>
      <w:r>
        <w:t xml:space="preserve"> for release</w:t>
      </w:r>
      <w:r w:rsidRPr="001F7E94">
        <w:t xml:space="preserve"> in the May/June issue of the South African Journal of Science</w:t>
      </w:r>
      <w:r>
        <w:rPr>
          <w:rStyle w:val="EndnoteReference"/>
        </w:rPr>
        <w:endnoteReference w:id="1"/>
      </w:r>
      <w:r>
        <w:t>.</w:t>
      </w:r>
    </w:p>
    <w:p w:rsidR="00F0427E" w:rsidRDefault="00F0427E" w:rsidP="00F0427E">
      <w:pPr>
        <w:ind w:left="153"/>
        <w:jc w:val="both"/>
      </w:pPr>
    </w:p>
    <w:p w:rsidR="00F0427E" w:rsidRDefault="00F0427E" w:rsidP="00F0427E">
      <w:pPr>
        <w:ind w:left="153"/>
        <w:jc w:val="both"/>
      </w:pPr>
    </w:p>
    <w:tbl>
      <w:tblPr>
        <w:tblW w:w="544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1153"/>
        <w:gridCol w:w="1494"/>
        <w:gridCol w:w="1344"/>
        <w:gridCol w:w="1492"/>
        <w:gridCol w:w="1344"/>
        <w:gridCol w:w="1194"/>
        <w:gridCol w:w="749"/>
        <w:gridCol w:w="895"/>
      </w:tblGrid>
      <w:tr w:rsidR="00F0427E" w:rsidRPr="000652B5" w:rsidTr="00FB3C3D">
        <w:trPr>
          <w:trHeight w:val="345"/>
        </w:trPr>
        <w:tc>
          <w:tcPr>
            <w:tcW w:w="743" w:type="pct"/>
            <w:vMerge w:val="restart"/>
            <w:shd w:val="clear" w:color="000000" w:fill="BFBFBF"/>
            <w:noWrap/>
            <w:vAlign w:val="center"/>
            <w:hideMark/>
          </w:tcPr>
          <w:p w:rsidR="00F0427E" w:rsidRPr="000652B5" w:rsidRDefault="00F0427E" w:rsidP="00FB3C3D">
            <w:pPr>
              <w:ind w:left="153"/>
              <w:jc w:val="both"/>
              <w:rPr>
                <w:b/>
                <w:bCs/>
                <w:sz w:val="18"/>
                <w:szCs w:val="18"/>
              </w:rPr>
            </w:pPr>
            <w:r w:rsidRPr="000652B5">
              <w:rPr>
                <w:b/>
                <w:bCs/>
                <w:sz w:val="18"/>
                <w:szCs w:val="18"/>
              </w:rPr>
              <w:t>Province</w:t>
            </w:r>
          </w:p>
        </w:tc>
        <w:tc>
          <w:tcPr>
            <w:tcW w:w="508" w:type="pct"/>
            <w:vMerge w:val="restart"/>
            <w:shd w:val="clear" w:color="000000" w:fill="BFBFBF"/>
            <w:vAlign w:val="center"/>
          </w:tcPr>
          <w:p w:rsidR="00F0427E" w:rsidRPr="000652B5" w:rsidRDefault="00F0427E" w:rsidP="00FB3C3D">
            <w:pPr>
              <w:ind w:left="153"/>
              <w:jc w:val="both"/>
              <w:rPr>
                <w:b/>
                <w:bCs/>
                <w:sz w:val="18"/>
                <w:szCs w:val="18"/>
              </w:rPr>
            </w:pPr>
            <w:r w:rsidRPr="000652B5">
              <w:rPr>
                <w:b/>
                <w:bCs/>
                <w:sz w:val="18"/>
                <w:szCs w:val="18"/>
              </w:rPr>
              <w:t>Total excess natural deaths</w:t>
            </w:r>
          </w:p>
        </w:tc>
        <w:tc>
          <w:tcPr>
            <w:tcW w:w="658" w:type="pct"/>
            <w:vMerge w:val="restart"/>
            <w:shd w:val="clear" w:color="000000" w:fill="BFBFBF"/>
            <w:vAlign w:val="center"/>
            <w:hideMark/>
          </w:tcPr>
          <w:p w:rsidR="00F0427E" w:rsidRPr="000652B5" w:rsidRDefault="00F0427E" w:rsidP="00FB3C3D">
            <w:pPr>
              <w:ind w:left="153"/>
              <w:rPr>
                <w:b/>
                <w:bCs/>
                <w:sz w:val="18"/>
                <w:szCs w:val="18"/>
              </w:rPr>
            </w:pPr>
            <w:r w:rsidRPr="000652B5">
              <w:rPr>
                <w:b/>
                <w:bCs/>
                <w:sz w:val="18"/>
                <w:szCs w:val="18"/>
              </w:rPr>
              <w:t xml:space="preserve">Cumulative age-adjusted rate per </w:t>
            </w:r>
          </w:p>
          <w:p w:rsidR="00F0427E" w:rsidRPr="000652B5" w:rsidRDefault="00F0427E" w:rsidP="00FB3C3D">
            <w:pPr>
              <w:ind w:left="153"/>
              <w:rPr>
                <w:b/>
                <w:bCs/>
                <w:sz w:val="18"/>
                <w:szCs w:val="18"/>
              </w:rPr>
            </w:pPr>
            <w:r w:rsidRPr="000652B5">
              <w:rPr>
                <w:b/>
                <w:bCs/>
                <w:sz w:val="18"/>
                <w:szCs w:val="18"/>
              </w:rPr>
              <w:t xml:space="preserve">100 000 population  </w:t>
            </w:r>
          </w:p>
        </w:tc>
        <w:tc>
          <w:tcPr>
            <w:tcW w:w="3091" w:type="pct"/>
            <w:gridSpan w:val="6"/>
            <w:shd w:val="clear" w:color="000000" w:fill="BFBFBF"/>
          </w:tcPr>
          <w:p w:rsidR="00F0427E" w:rsidRPr="000652B5" w:rsidRDefault="00F0427E" w:rsidP="00FB3C3D">
            <w:pPr>
              <w:ind w:left="153"/>
              <w:jc w:val="both"/>
              <w:rPr>
                <w:b/>
                <w:bCs/>
                <w:sz w:val="20"/>
                <w:szCs w:val="20"/>
              </w:rPr>
            </w:pPr>
            <w:r w:rsidRPr="000652B5">
              <w:rPr>
                <w:b/>
                <w:bCs/>
                <w:sz w:val="20"/>
                <w:szCs w:val="20"/>
              </w:rPr>
              <w:t xml:space="preserve">Annualised age-adjusted rate per 100 000 population </w:t>
            </w:r>
          </w:p>
        </w:tc>
      </w:tr>
      <w:tr w:rsidR="00F0427E" w:rsidRPr="00BD487C" w:rsidTr="00FB3C3D">
        <w:trPr>
          <w:trHeight w:val="345"/>
        </w:trPr>
        <w:tc>
          <w:tcPr>
            <w:tcW w:w="743" w:type="pct"/>
            <w:vMerge/>
            <w:shd w:val="clear" w:color="000000" w:fill="BFBFBF"/>
            <w:noWrap/>
            <w:vAlign w:val="center"/>
          </w:tcPr>
          <w:p w:rsidR="00F0427E" w:rsidRPr="000652B5" w:rsidRDefault="00F0427E" w:rsidP="00FB3C3D">
            <w:pPr>
              <w:ind w:left="153"/>
              <w:jc w:val="both"/>
              <w:rPr>
                <w:b/>
                <w:bCs/>
                <w:sz w:val="20"/>
                <w:szCs w:val="20"/>
              </w:rPr>
            </w:pPr>
          </w:p>
        </w:tc>
        <w:tc>
          <w:tcPr>
            <w:tcW w:w="508" w:type="pct"/>
            <w:vMerge/>
            <w:shd w:val="clear" w:color="000000" w:fill="BFBFBF"/>
          </w:tcPr>
          <w:p w:rsidR="00F0427E" w:rsidRPr="000652B5" w:rsidRDefault="00F0427E" w:rsidP="00FB3C3D">
            <w:pPr>
              <w:ind w:left="153"/>
              <w:jc w:val="both"/>
              <w:rPr>
                <w:b/>
                <w:bCs/>
                <w:sz w:val="20"/>
                <w:szCs w:val="20"/>
              </w:rPr>
            </w:pPr>
          </w:p>
        </w:tc>
        <w:tc>
          <w:tcPr>
            <w:tcW w:w="658" w:type="pct"/>
            <w:vMerge/>
            <w:shd w:val="clear" w:color="000000" w:fill="BFBFBF"/>
            <w:vAlign w:val="center"/>
          </w:tcPr>
          <w:p w:rsidR="00F0427E" w:rsidRPr="000652B5" w:rsidRDefault="00F0427E" w:rsidP="00FB3C3D">
            <w:pPr>
              <w:ind w:left="153"/>
              <w:jc w:val="both"/>
              <w:rPr>
                <w:b/>
                <w:bCs/>
                <w:sz w:val="20"/>
                <w:szCs w:val="20"/>
              </w:rPr>
            </w:pPr>
          </w:p>
        </w:tc>
        <w:tc>
          <w:tcPr>
            <w:tcW w:w="592" w:type="pct"/>
            <w:shd w:val="clear" w:color="auto" w:fill="F2F2F2" w:themeFill="background1" w:themeFillShade="F2"/>
          </w:tcPr>
          <w:p w:rsidR="00F0427E" w:rsidRPr="000652B5" w:rsidRDefault="00F0427E" w:rsidP="00FB3C3D">
            <w:pPr>
              <w:rPr>
                <w:b/>
                <w:bCs/>
                <w:sz w:val="14"/>
                <w:szCs w:val="14"/>
              </w:rPr>
            </w:pPr>
            <w:r w:rsidRPr="000652B5">
              <w:rPr>
                <w:b/>
                <w:bCs/>
                <w:sz w:val="14"/>
                <w:szCs w:val="14"/>
              </w:rPr>
              <w:t>Wave 1</w:t>
            </w:r>
          </w:p>
          <w:p w:rsidR="00F0427E" w:rsidRPr="000652B5" w:rsidRDefault="00F0427E" w:rsidP="00FB3C3D">
            <w:pPr>
              <w:rPr>
                <w:b/>
                <w:bCs/>
                <w:sz w:val="14"/>
                <w:szCs w:val="14"/>
              </w:rPr>
            </w:pPr>
            <w:r w:rsidRPr="000652B5">
              <w:rPr>
                <w:sz w:val="14"/>
                <w:szCs w:val="14"/>
              </w:rPr>
              <w:t>(2020</w:t>
            </w:r>
            <w:r w:rsidRPr="00EE71E2">
              <w:rPr>
                <w:sz w:val="14"/>
                <w:szCs w:val="14"/>
              </w:rPr>
              <w:t xml:space="preserve"> </w:t>
            </w:r>
            <w:r w:rsidRPr="000652B5">
              <w:rPr>
                <w:sz w:val="14"/>
                <w:szCs w:val="14"/>
              </w:rPr>
              <w:t>w</w:t>
            </w:r>
            <w:r w:rsidRPr="00EE71E2">
              <w:rPr>
                <w:sz w:val="14"/>
                <w:szCs w:val="14"/>
              </w:rPr>
              <w:t>ee</w:t>
            </w:r>
            <w:r w:rsidRPr="000652B5">
              <w:rPr>
                <w:sz w:val="14"/>
                <w:szCs w:val="14"/>
              </w:rPr>
              <w:t>k</w:t>
            </w:r>
            <w:r w:rsidRPr="00EE71E2">
              <w:rPr>
                <w:sz w:val="14"/>
                <w:szCs w:val="14"/>
              </w:rPr>
              <w:t xml:space="preserve"> </w:t>
            </w:r>
            <w:r w:rsidRPr="000652B5">
              <w:rPr>
                <w:sz w:val="14"/>
                <w:szCs w:val="14"/>
              </w:rPr>
              <w:t>19-2020</w:t>
            </w:r>
            <w:r w:rsidRPr="00EE71E2">
              <w:rPr>
                <w:sz w:val="14"/>
                <w:szCs w:val="14"/>
              </w:rPr>
              <w:t xml:space="preserve"> </w:t>
            </w:r>
            <w:r w:rsidRPr="000652B5">
              <w:rPr>
                <w:sz w:val="14"/>
                <w:szCs w:val="14"/>
              </w:rPr>
              <w:t>w</w:t>
            </w:r>
            <w:r w:rsidRPr="00EE71E2">
              <w:rPr>
                <w:sz w:val="14"/>
                <w:szCs w:val="14"/>
              </w:rPr>
              <w:t>ee</w:t>
            </w:r>
            <w:r w:rsidRPr="000652B5">
              <w:rPr>
                <w:sz w:val="14"/>
                <w:szCs w:val="14"/>
              </w:rPr>
              <w:t>k</w:t>
            </w:r>
            <w:r w:rsidRPr="00EE71E2">
              <w:rPr>
                <w:sz w:val="14"/>
                <w:szCs w:val="14"/>
              </w:rPr>
              <w:t xml:space="preserve"> </w:t>
            </w:r>
            <w:r w:rsidRPr="000652B5">
              <w:rPr>
                <w:sz w:val="14"/>
                <w:szCs w:val="14"/>
              </w:rPr>
              <w:t>42)</w:t>
            </w:r>
          </w:p>
        </w:tc>
        <w:tc>
          <w:tcPr>
            <w:tcW w:w="657" w:type="pct"/>
            <w:shd w:val="clear" w:color="auto" w:fill="F2F2F2" w:themeFill="background1" w:themeFillShade="F2"/>
          </w:tcPr>
          <w:p w:rsidR="00F0427E" w:rsidRPr="000652B5" w:rsidRDefault="00F0427E" w:rsidP="00FB3C3D">
            <w:pPr>
              <w:rPr>
                <w:b/>
                <w:bCs/>
                <w:sz w:val="14"/>
                <w:szCs w:val="14"/>
              </w:rPr>
            </w:pPr>
            <w:r w:rsidRPr="000652B5">
              <w:rPr>
                <w:b/>
                <w:bCs/>
                <w:sz w:val="14"/>
                <w:szCs w:val="14"/>
              </w:rPr>
              <w:t>Wave 2</w:t>
            </w:r>
          </w:p>
          <w:p w:rsidR="00F0427E" w:rsidRPr="000652B5" w:rsidRDefault="00F0427E" w:rsidP="00FB3C3D">
            <w:pPr>
              <w:rPr>
                <w:b/>
                <w:bCs/>
                <w:sz w:val="14"/>
                <w:szCs w:val="14"/>
              </w:rPr>
            </w:pPr>
            <w:r w:rsidRPr="000652B5">
              <w:rPr>
                <w:sz w:val="14"/>
                <w:szCs w:val="14"/>
              </w:rPr>
              <w:t>(2020</w:t>
            </w:r>
            <w:r w:rsidRPr="00EE71E2">
              <w:rPr>
                <w:sz w:val="14"/>
                <w:szCs w:val="14"/>
              </w:rPr>
              <w:t xml:space="preserve"> </w:t>
            </w:r>
            <w:r w:rsidRPr="000652B5">
              <w:rPr>
                <w:sz w:val="14"/>
                <w:szCs w:val="14"/>
              </w:rPr>
              <w:t>w</w:t>
            </w:r>
            <w:r w:rsidRPr="00EE71E2">
              <w:rPr>
                <w:sz w:val="14"/>
                <w:szCs w:val="14"/>
              </w:rPr>
              <w:t>ee</w:t>
            </w:r>
            <w:r w:rsidRPr="000652B5">
              <w:rPr>
                <w:sz w:val="14"/>
                <w:szCs w:val="14"/>
              </w:rPr>
              <w:t>k</w:t>
            </w:r>
            <w:r w:rsidRPr="00EE71E2">
              <w:rPr>
                <w:sz w:val="14"/>
                <w:szCs w:val="14"/>
              </w:rPr>
              <w:t xml:space="preserve"> </w:t>
            </w:r>
            <w:r w:rsidRPr="000652B5">
              <w:rPr>
                <w:sz w:val="14"/>
                <w:szCs w:val="14"/>
              </w:rPr>
              <w:t>43-2021</w:t>
            </w:r>
            <w:r w:rsidRPr="00EE71E2">
              <w:rPr>
                <w:sz w:val="14"/>
                <w:szCs w:val="14"/>
              </w:rPr>
              <w:t xml:space="preserve"> </w:t>
            </w:r>
            <w:r w:rsidRPr="000652B5">
              <w:rPr>
                <w:sz w:val="14"/>
                <w:szCs w:val="14"/>
              </w:rPr>
              <w:t>w</w:t>
            </w:r>
            <w:r w:rsidRPr="00EE71E2">
              <w:rPr>
                <w:sz w:val="14"/>
                <w:szCs w:val="14"/>
              </w:rPr>
              <w:t xml:space="preserve">ee  </w:t>
            </w:r>
            <w:r w:rsidRPr="000652B5">
              <w:rPr>
                <w:sz w:val="14"/>
                <w:szCs w:val="14"/>
              </w:rPr>
              <w:t>k14)</w:t>
            </w:r>
          </w:p>
        </w:tc>
        <w:tc>
          <w:tcPr>
            <w:tcW w:w="592" w:type="pct"/>
            <w:shd w:val="clear" w:color="auto" w:fill="F2F2F2" w:themeFill="background1" w:themeFillShade="F2"/>
          </w:tcPr>
          <w:p w:rsidR="00F0427E" w:rsidRPr="00EE71E2" w:rsidRDefault="00F0427E" w:rsidP="00FB3C3D">
            <w:pPr>
              <w:rPr>
                <w:b/>
                <w:bCs/>
                <w:sz w:val="14"/>
                <w:szCs w:val="14"/>
              </w:rPr>
            </w:pPr>
            <w:r w:rsidRPr="000652B5">
              <w:rPr>
                <w:b/>
                <w:bCs/>
                <w:sz w:val="14"/>
                <w:szCs w:val="14"/>
              </w:rPr>
              <w:t xml:space="preserve">Wave 3 </w:t>
            </w:r>
          </w:p>
          <w:p w:rsidR="00F0427E" w:rsidRPr="000652B5" w:rsidRDefault="00F0427E" w:rsidP="00FB3C3D">
            <w:pPr>
              <w:rPr>
                <w:b/>
                <w:bCs/>
                <w:sz w:val="14"/>
                <w:szCs w:val="14"/>
              </w:rPr>
            </w:pPr>
            <w:r w:rsidRPr="000652B5">
              <w:rPr>
                <w:sz w:val="14"/>
                <w:szCs w:val="14"/>
              </w:rPr>
              <w:t>(2021</w:t>
            </w:r>
            <w:r w:rsidRPr="00EE71E2">
              <w:rPr>
                <w:sz w:val="14"/>
                <w:szCs w:val="14"/>
              </w:rPr>
              <w:t xml:space="preserve"> </w:t>
            </w:r>
            <w:r w:rsidRPr="000652B5">
              <w:rPr>
                <w:sz w:val="14"/>
                <w:szCs w:val="14"/>
              </w:rPr>
              <w:t>w</w:t>
            </w:r>
            <w:r w:rsidRPr="00EE71E2">
              <w:rPr>
                <w:sz w:val="14"/>
                <w:szCs w:val="14"/>
              </w:rPr>
              <w:t>ee</w:t>
            </w:r>
            <w:r w:rsidRPr="000652B5">
              <w:rPr>
                <w:sz w:val="14"/>
                <w:szCs w:val="14"/>
              </w:rPr>
              <w:t>k</w:t>
            </w:r>
            <w:r w:rsidRPr="00EE71E2">
              <w:rPr>
                <w:sz w:val="14"/>
                <w:szCs w:val="14"/>
              </w:rPr>
              <w:t xml:space="preserve"> </w:t>
            </w:r>
            <w:r w:rsidRPr="000652B5">
              <w:rPr>
                <w:sz w:val="14"/>
                <w:szCs w:val="14"/>
              </w:rPr>
              <w:t>15</w:t>
            </w:r>
            <w:r w:rsidRPr="00EE71E2">
              <w:rPr>
                <w:sz w:val="14"/>
                <w:szCs w:val="14"/>
              </w:rPr>
              <w:t xml:space="preserve"> </w:t>
            </w:r>
            <w:r w:rsidRPr="000652B5">
              <w:rPr>
                <w:sz w:val="14"/>
                <w:szCs w:val="14"/>
              </w:rPr>
              <w:t>- 2021w</w:t>
            </w:r>
            <w:r w:rsidRPr="00EE71E2">
              <w:rPr>
                <w:sz w:val="14"/>
                <w:szCs w:val="14"/>
              </w:rPr>
              <w:t>ee</w:t>
            </w:r>
            <w:r w:rsidRPr="000652B5">
              <w:rPr>
                <w:sz w:val="14"/>
                <w:szCs w:val="14"/>
              </w:rPr>
              <w:t>k</w:t>
            </w:r>
            <w:r w:rsidRPr="00EE71E2">
              <w:rPr>
                <w:sz w:val="14"/>
                <w:szCs w:val="14"/>
              </w:rPr>
              <w:t xml:space="preserve"> </w:t>
            </w:r>
            <w:r w:rsidRPr="000652B5">
              <w:rPr>
                <w:sz w:val="14"/>
                <w:szCs w:val="14"/>
              </w:rPr>
              <w:t>46)</w:t>
            </w:r>
          </w:p>
        </w:tc>
        <w:tc>
          <w:tcPr>
            <w:tcW w:w="526" w:type="pct"/>
            <w:shd w:val="clear" w:color="auto" w:fill="F2F2F2" w:themeFill="background1" w:themeFillShade="F2"/>
          </w:tcPr>
          <w:p w:rsidR="00F0427E" w:rsidRPr="000652B5" w:rsidRDefault="00F0427E" w:rsidP="00FB3C3D">
            <w:pPr>
              <w:rPr>
                <w:b/>
                <w:bCs/>
                <w:sz w:val="14"/>
                <w:szCs w:val="14"/>
              </w:rPr>
            </w:pPr>
            <w:r w:rsidRPr="000652B5">
              <w:rPr>
                <w:b/>
                <w:bCs/>
                <w:sz w:val="14"/>
                <w:szCs w:val="14"/>
              </w:rPr>
              <w:t>Wave 4</w:t>
            </w:r>
          </w:p>
          <w:p w:rsidR="00F0427E" w:rsidRPr="000652B5" w:rsidRDefault="00F0427E" w:rsidP="00FB3C3D">
            <w:pPr>
              <w:rPr>
                <w:b/>
                <w:bCs/>
                <w:sz w:val="14"/>
                <w:szCs w:val="14"/>
              </w:rPr>
            </w:pPr>
            <w:r w:rsidRPr="000652B5">
              <w:rPr>
                <w:sz w:val="14"/>
                <w:szCs w:val="14"/>
              </w:rPr>
              <w:t>(2020</w:t>
            </w:r>
            <w:r w:rsidRPr="00EE71E2">
              <w:rPr>
                <w:sz w:val="14"/>
                <w:szCs w:val="14"/>
              </w:rPr>
              <w:t xml:space="preserve"> </w:t>
            </w:r>
            <w:r w:rsidRPr="000652B5">
              <w:rPr>
                <w:sz w:val="14"/>
                <w:szCs w:val="14"/>
              </w:rPr>
              <w:t>w</w:t>
            </w:r>
            <w:r w:rsidRPr="00EE71E2">
              <w:rPr>
                <w:sz w:val="14"/>
                <w:szCs w:val="14"/>
              </w:rPr>
              <w:t>ee</w:t>
            </w:r>
            <w:r w:rsidRPr="000652B5">
              <w:rPr>
                <w:sz w:val="14"/>
                <w:szCs w:val="14"/>
              </w:rPr>
              <w:t>k19-2022</w:t>
            </w:r>
            <w:r w:rsidRPr="00EE71E2">
              <w:rPr>
                <w:sz w:val="14"/>
                <w:szCs w:val="14"/>
              </w:rPr>
              <w:t xml:space="preserve"> </w:t>
            </w:r>
            <w:r w:rsidRPr="000652B5">
              <w:rPr>
                <w:sz w:val="14"/>
                <w:szCs w:val="14"/>
              </w:rPr>
              <w:t>w</w:t>
            </w:r>
            <w:r w:rsidRPr="00EE71E2">
              <w:rPr>
                <w:sz w:val="14"/>
                <w:szCs w:val="14"/>
              </w:rPr>
              <w:t>ee</w:t>
            </w:r>
            <w:r w:rsidRPr="000652B5">
              <w:rPr>
                <w:sz w:val="14"/>
                <w:szCs w:val="14"/>
              </w:rPr>
              <w:t>k</w:t>
            </w:r>
            <w:r w:rsidRPr="00EE71E2">
              <w:rPr>
                <w:sz w:val="14"/>
                <w:szCs w:val="14"/>
              </w:rPr>
              <w:t xml:space="preserve"> </w:t>
            </w:r>
            <w:r w:rsidRPr="000652B5">
              <w:rPr>
                <w:sz w:val="14"/>
                <w:szCs w:val="14"/>
              </w:rPr>
              <w:t>4)</w:t>
            </w:r>
          </w:p>
        </w:tc>
        <w:tc>
          <w:tcPr>
            <w:tcW w:w="330" w:type="pct"/>
            <w:shd w:val="clear" w:color="auto" w:fill="F2F2F2" w:themeFill="background1" w:themeFillShade="F2"/>
          </w:tcPr>
          <w:p w:rsidR="00F0427E" w:rsidRPr="000652B5" w:rsidRDefault="00F0427E" w:rsidP="00FB3C3D">
            <w:pPr>
              <w:ind w:left="153"/>
              <w:jc w:val="both"/>
              <w:rPr>
                <w:b/>
                <w:bCs/>
                <w:sz w:val="14"/>
                <w:szCs w:val="14"/>
              </w:rPr>
            </w:pPr>
            <w:r w:rsidRPr="000652B5">
              <w:rPr>
                <w:b/>
                <w:bCs/>
                <w:sz w:val="14"/>
                <w:szCs w:val="14"/>
              </w:rPr>
              <w:t>2020</w:t>
            </w:r>
          </w:p>
        </w:tc>
        <w:tc>
          <w:tcPr>
            <w:tcW w:w="394" w:type="pct"/>
            <w:shd w:val="clear" w:color="auto" w:fill="F2F2F2" w:themeFill="background1" w:themeFillShade="F2"/>
          </w:tcPr>
          <w:p w:rsidR="00F0427E" w:rsidRPr="000652B5" w:rsidRDefault="00F0427E" w:rsidP="00FB3C3D">
            <w:pPr>
              <w:ind w:left="153"/>
              <w:jc w:val="both"/>
              <w:rPr>
                <w:b/>
                <w:bCs/>
                <w:sz w:val="14"/>
                <w:szCs w:val="14"/>
              </w:rPr>
            </w:pPr>
            <w:r w:rsidRPr="000652B5">
              <w:rPr>
                <w:b/>
                <w:bCs/>
                <w:sz w:val="14"/>
                <w:szCs w:val="14"/>
              </w:rPr>
              <w:t>2021</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Eastern Cape</w:t>
            </w:r>
          </w:p>
        </w:tc>
        <w:tc>
          <w:tcPr>
            <w:tcW w:w="508" w:type="pct"/>
            <w:vAlign w:val="bottom"/>
          </w:tcPr>
          <w:p w:rsidR="00F0427E" w:rsidRPr="000652B5" w:rsidRDefault="00F0427E" w:rsidP="00FB3C3D">
            <w:pPr>
              <w:ind w:left="153"/>
              <w:jc w:val="both"/>
              <w:rPr>
                <w:sz w:val="20"/>
                <w:szCs w:val="20"/>
              </w:rPr>
            </w:pPr>
            <w:r w:rsidRPr="000652B5">
              <w:rPr>
                <w:sz w:val="20"/>
                <w:szCs w:val="20"/>
              </w:rPr>
              <w:t>50 257</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621</w:t>
            </w:r>
          </w:p>
        </w:tc>
        <w:tc>
          <w:tcPr>
            <w:tcW w:w="592" w:type="pct"/>
            <w:vAlign w:val="bottom"/>
          </w:tcPr>
          <w:p w:rsidR="00F0427E" w:rsidRPr="000652B5" w:rsidRDefault="00F0427E" w:rsidP="00FB3C3D">
            <w:pPr>
              <w:ind w:left="153"/>
              <w:jc w:val="both"/>
              <w:rPr>
                <w:sz w:val="20"/>
                <w:szCs w:val="20"/>
              </w:rPr>
            </w:pPr>
            <w:r w:rsidRPr="000652B5">
              <w:rPr>
                <w:sz w:val="20"/>
                <w:szCs w:val="20"/>
              </w:rPr>
              <w:t>362</w:t>
            </w:r>
          </w:p>
        </w:tc>
        <w:tc>
          <w:tcPr>
            <w:tcW w:w="657" w:type="pct"/>
            <w:vAlign w:val="bottom"/>
          </w:tcPr>
          <w:p w:rsidR="00F0427E" w:rsidRPr="000652B5" w:rsidRDefault="00F0427E" w:rsidP="00FB3C3D">
            <w:pPr>
              <w:ind w:left="153"/>
              <w:jc w:val="both"/>
              <w:rPr>
                <w:sz w:val="20"/>
                <w:szCs w:val="20"/>
              </w:rPr>
            </w:pPr>
            <w:r w:rsidRPr="000652B5">
              <w:rPr>
                <w:sz w:val="20"/>
                <w:szCs w:val="20"/>
              </w:rPr>
              <w:t>502</w:t>
            </w:r>
          </w:p>
        </w:tc>
        <w:tc>
          <w:tcPr>
            <w:tcW w:w="592" w:type="pct"/>
            <w:vAlign w:val="bottom"/>
          </w:tcPr>
          <w:p w:rsidR="00F0427E" w:rsidRPr="000652B5" w:rsidRDefault="00F0427E" w:rsidP="00FB3C3D">
            <w:pPr>
              <w:ind w:left="153"/>
              <w:jc w:val="both"/>
              <w:rPr>
                <w:sz w:val="20"/>
                <w:szCs w:val="20"/>
              </w:rPr>
            </w:pPr>
            <w:r w:rsidRPr="000652B5">
              <w:rPr>
                <w:sz w:val="20"/>
                <w:szCs w:val="20"/>
              </w:rPr>
              <w:t>237</w:t>
            </w:r>
          </w:p>
        </w:tc>
        <w:tc>
          <w:tcPr>
            <w:tcW w:w="526" w:type="pct"/>
            <w:vAlign w:val="bottom"/>
          </w:tcPr>
          <w:p w:rsidR="00F0427E" w:rsidRPr="000652B5" w:rsidRDefault="00F0427E" w:rsidP="00FB3C3D">
            <w:pPr>
              <w:ind w:left="153"/>
              <w:jc w:val="both"/>
              <w:rPr>
                <w:sz w:val="20"/>
                <w:szCs w:val="20"/>
              </w:rPr>
            </w:pPr>
            <w:r w:rsidRPr="000652B5">
              <w:rPr>
                <w:sz w:val="20"/>
                <w:szCs w:val="20"/>
              </w:rPr>
              <w:t>389</w:t>
            </w:r>
          </w:p>
        </w:tc>
        <w:tc>
          <w:tcPr>
            <w:tcW w:w="330" w:type="pct"/>
            <w:vAlign w:val="bottom"/>
          </w:tcPr>
          <w:p w:rsidR="00F0427E" w:rsidRPr="000652B5" w:rsidRDefault="00F0427E" w:rsidP="00FB3C3D">
            <w:pPr>
              <w:ind w:left="153"/>
              <w:jc w:val="both"/>
              <w:rPr>
                <w:sz w:val="20"/>
                <w:szCs w:val="20"/>
              </w:rPr>
            </w:pPr>
            <w:r w:rsidRPr="000652B5">
              <w:rPr>
                <w:sz w:val="20"/>
                <w:szCs w:val="20"/>
              </w:rPr>
              <w:t>299</w:t>
            </w:r>
          </w:p>
        </w:tc>
        <w:tc>
          <w:tcPr>
            <w:tcW w:w="394" w:type="pct"/>
            <w:vAlign w:val="bottom"/>
          </w:tcPr>
          <w:p w:rsidR="00F0427E" w:rsidRPr="000652B5" w:rsidRDefault="00F0427E" w:rsidP="00FB3C3D">
            <w:pPr>
              <w:ind w:left="153"/>
              <w:jc w:val="both"/>
              <w:rPr>
                <w:sz w:val="20"/>
                <w:szCs w:val="20"/>
              </w:rPr>
            </w:pPr>
            <w:r w:rsidRPr="000652B5">
              <w:rPr>
                <w:sz w:val="20"/>
                <w:szCs w:val="20"/>
              </w:rPr>
              <w:t>294</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Free State</w:t>
            </w:r>
          </w:p>
        </w:tc>
        <w:tc>
          <w:tcPr>
            <w:tcW w:w="508" w:type="pct"/>
            <w:vAlign w:val="bottom"/>
          </w:tcPr>
          <w:p w:rsidR="00F0427E" w:rsidRPr="000652B5" w:rsidRDefault="00F0427E" w:rsidP="00FB3C3D">
            <w:pPr>
              <w:ind w:left="153"/>
              <w:jc w:val="both"/>
              <w:rPr>
                <w:sz w:val="20"/>
                <w:szCs w:val="20"/>
              </w:rPr>
            </w:pPr>
            <w:r w:rsidRPr="000652B5">
              <w:rPr>
                <w:sz w:val="20"/>
                <w:szCs w:val="20"/>
              </w:rPr>
              <w:t>16 662</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570</w:t>
            </w:r>
          </w:p>
        </w:tc>
        <w:tc>
          <w:tcPr>
            <w:tcW w:w="592" w:type="pct"/>
            <w:vAlign w:val="bottom"/>
          </w:tcPr>
          <w:p w:rsidR="00F0427E" w:rsidRPr="000652B5" w:rsidRDefault="00F0427E" w:rsidP="00FB3C3D">
            <w:pPr>
              <w:ind w:left="153"/>
              <w:jc w:val="both"/>
              <w:rPr>
                <w:sz w:val="20"/>
                <w:szCs w:val="20"/>
              </w:rPr>
            </w:pPr>
            <w:r w:rsidRPr="000652B5">
              <w:rPr>
                <w:sz w:val="20"/>
                <w:szCs w:val="20"/>
              </w:rPr>
              <w:t>304</w:t>
            </w:r>
          </w:p>
        </w:tc>
        <w:tc>
          <w:tcPr>
            <w:tcW w:w="657" w:type="pct"/>
            <w:vAlign w:val="bottom"/>
          </w:tcPr>
          <w:p w:rsidR="00F0427E" w:rsidRPr="000652B5" w:rsidRDefault="00F0427E" w:rsidP="00FB3C3D">
            <w:pPr>
              <w:ind w:left="153"/>
              <w:jc w:val="both"/>
              <w:rPr>
                <w:sz w:val="20"/>
                <w:szCs w:val="20"/>
              </w:rPr>
            </w:pPr>
            <w:r w:rsidRPr="000652B5">
              <w:rPr>
                <w:sz w:val="20"/>
                <w:szCs w:val="20"/>
              </w:rPr>
              <w:t>388</w:t>
            </w:r>
          </w:p>
        </w:tc>
        <w:tc>
          <w:tcPr>
            <w:tcW w:w="592" w:type="pct"/>
            <w:vAlign w:val="bottom"/>
          </w:tcPr>
          <w:p w:rsidR="00F0427E" w:rsidRPr="000652B5" w:rsidRDefault="00F0427E" w:rsidP="00FB3C3D">
            <w:pPr>
              <w:ind w:left="153"/>
              <w:jc w:val="both"/>
              <w:rPr>
                <w:sz w:val="20"/>
                <w:szCs w:val="20"/>
              </w:rPr>
            </w:pPr>
            <w:r w:rsidRPr="000652B5">
              <w:rPr>
                <w:sz w:val="20"/>
                <w:szCs w:val="20"/>
              </w:rPr>
              <w:t>411</w:t>
            </w:r>
          </w:p>
        </w:tc>
        <w:tc>
          <w:tcPr>
            <w:tcW w:w="526" w:type="pct"/>
            <w:vAlign w:val="bottom"/>
          </w:tcPr>
          <w:p w:rsidR="00F0427E" w:rsidRPr="000652B5" w:rsidRDefault="00F0427E" w:rsidP="00FB3C3D">
            <w:pPr>
              <w:ind w:left="153"/>
              <w:jc w:val="both"/>
              <w:rPr>
                <w:sz w:val="20"/>
                <w:szCs w:val="20"/>
              </w:rPr>
            </w:pPr>
            <w:r w:rsidRPr="000652B5">
              <w:rPr>
                <w:sz w:val="20"/>
                <w:szCs w:val="20"/>
              </w:rPr>
              <w:t>208</w:t>
            </w:r>
          </w:p>
        </w:tc>
        <w:tc>
          <w:tcPr>
            <w:tcW w:w="330" w:type="pct"/>
            <w:vAlign w:val="bottom"/>
          </w:tcPr>
          <w:p w:rsidR="00F0427E" w:rsidRPr="000652B5" w:rsidRDefault="00F0427E" w:rsidP="00FB3C3D">
            <w:pPr>
              <w:ind w:left="153"/>
              <w:jc w:val="both"/>
              <w:rPr>
                <w:sz w:val="20"/>
                <w:szCs w:val="20"/>
              </w:rPr>
            </w:pPr>
            <w:r w:rsidRPr="000652B5">
              <w:rPr>
                <w:sz w:val="20"/>
                <w:szCs w:val="20"/>
              </w:rPr>
              <w:t>150</w:t>
            </w:r>
          </w:p>
        </w:tc>
        <w:tc>
          <w:tcPr>
            <w:tcW w:w="394" w:type="pct"/>
            <w:vAlign w:val="bottom"/>
          </w:tcPr>
          <w:p w:rsidR="00F0427E" w:rsidRPr="000652B5" w:rsidRDefault="00F0427E" w:rsidP="00FB3C3D">
            <w:pPr>
              <w:ind w:left="153"/>
              <w:jc w:val="both"/>
              <w:rPr>
                <w:sz w:val="20"/>
                <w:szCs w:val="20"/>
              </w:rPr>
            </w:pPr>
            <w:r w:rsidRPr="000652B5">
              <w:rPr>
                <w:sz w:val="20"/>
                <w:szCs w:val="20"/>
              </w:rPr>
              <w:t>404</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Gauteng</w:t>
            </w:r>
          </w:p>
        </w:tc>
        <w:tc>
          <w:tcPr>
            <w:tcW w:w="508" w:type="pct"/>
            <w:vAlign w:val="bottom"/>
          </w:tcPr>
          <w:p w:rsidR="00F0427E" w:rsidRPr="000652B5" w:rsidRDefault="00F0427E" w:rsidP="00FB3C3D">
            <w:pPr>
              <w:ind w:left="153"/>
              <w:jc w:val="both"/>
              <w:rPr>
                <w:sz w:val="20"/>
                <w:szCs w:val="20"/>
              </w:rPr>
            </w:pPr>
            <w:r w:rsidRPr="000652B5">
              <w:rPr>
                <w:sz w:val="20"/>
                <w:szCs w:val="20"/>
              </w:rPr>
              <w:t>58 254</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410</w:t>
            </w:r>
          </w:p>
        </w:tc>
        <w:tc>
          <w:tcPr>
            <w:tcW w:w="592" w:type="pct"/>
            <w:vAlign w:val="bottom"/>
          </w:tcPr>
          <w:p w:rsidR="00F0427E" w:rsidRPr="000652B5" w:rsidRDefault="00F0427E" w:rsidP="00FB3C3D">
            <w:pPr>
              <w:ind w:left="153"/>
              <w:jc w:val="both"/>
              <w:rPr>
                <w:sz w:val="20"/>
                <w:szCs w:val="20"/>
              </w:rPr>
            </w:pPr>
            <w:r w:rsidRPr="000652B5">
              <w:rPr>
                <w:sz w:val="20"/>
                <w:szCs w:val="20"/>
              </w:rPr>
              <w:t>210</w:t>
            </w:r>
          </w:p>
        </w:tc>
        <w:tc>
          <w:tcPr>
            <w:tcW w:w="657" w:type="pct"/>
            <w:vAlign w:val="bottom"/>
          </w:tcPr>
          <w:p w:rsidR="00F0427E" w:rsidRPr="000652B5" w:rsidRDefault="00F0427E" w:rsidP="00FB3C3D">
            <w:pPr>
              <w:ind w:left="153"/>
              <w:jc w:val="both"/>
              <w:rPr>
                <w:sz w:val="20"/>
                <w:szCs w:val="20"/>
              </w:rPr>
            </w:pPr>
            <w:r w:rsidRPr="000652B5">
              <w:rPr>
                <w:sz w:val="20"/>
                <w:szCs w:val="20"/>
              </w:rPr>
              <w:t>249</w:t>
            </w:r>
          </w:p>
        </w:tc>
        <w:tc>
          <w:tcPr>
            <w:tcW w:w="592" w:type="pct"/>
            <w:vAlign w:val="bottom"/>
          </w:tcPr>
          <w:p w:rsidR="00F0427E" w:rsidRPr="000652B5" w:rsidRDefault="00F0427E" w:rsidP="00FB3C3D">
            <w:pPr>
              <w:ind w:left="153"/>
              <w:jc w:val="both"/>
              <w:rPr>
                <w:sz w:val="20"/>
                <w:szCs w:val="20"/>
              </w:rPr>
            </w:pPr>
            <w:r w:rsidRPr="000652B5">
              <w:rPr>
                <w:sz w:val="20"/>
                <w:szCs w:val="20"/>
              </w:rPr>
              <w:t>346</w:t>
            </w:r>
          </w:p>
        </w:tc>
        <w:tc>
          <w:tcPr>
            <w:tcW w:w="526" w:type="pct"/>
            <w:vAlign w:val="bottom"/>
          </w:tcPr>
          <w:p w:rsidR="00F0427E" w:rsidRPr="000652B5" w:rsidRDefault="00F0427E" w:rsidP="00FB3C3D">
            <w:pPr>
              <w:ind w:left="153"/>
              <w:jc w:val="both"/>
              <w:rPr>
                <w:sz w:val="20"/>
                <w:szCs w:val="20"/>
              </w:rPr>
            </w:pPr>
            <w:r w:rsidRPr="000652B5">
              <w:rPr>
                <w:sz w:val="20"/>
                <w:szCs w:val="20"/>
              </w:rPr>
              <w:t>79</w:t>
            </w:r>
          </w:p>
        </w:tc>
        <w:tc>
          <w:tcPr>
            <w:tcW w:w="330" w:type="pct"/>
            <w:vAlign w:val="bottom"/>
          </w:tcPr>
          <w:p w:rsidR="00F0427E" w:rsidRPr="000652B5" w:rsidRDefault="00F0427E" w:rsidP="00FB3C3D">
            <w:pPr>
              <w:ind w:left="153"/>
              <w:jc w:val="both"/>
              <w:rPr>
                <w:sz w:val="20"/>
                <w:szCs w:val="20"/>
              </w:rPr>
            </w:pPr>
            <w:r w:rsidRPr="000652B5">
              <w:rPr>
                <w:sz w:val="20"/>
                <w:szCs w:val="20"/>
              </w:rPr>
              <w:t>111</w:t>
            </w:r>
          </w:p>
        </w:tc>
        <w:tc>
          <w:tcPr>
            <w:tcW w:w="394" w:type="pct"/>
            <w:vAlign w:val="bottom"/>
          </w:tcPr>
          <w:p w:rsidR="00F0427E" w:rsidRPr="000652B5" w:rsidRDefault="00F0427E" w:rsidP="00FB3C3D">
            <w:pPr>
              <w:ind w:left="153"/>
              <w:jc w:val="both"/>
              <w:rPr>
                <w:sz w:val="20"/>
                <w:szCs w:val="20"/>
              </w:rPr>
            </w:pPr>
            <w:r w:rsidRPr="000652B5">
              <w:rPr>
                <w:sz w:val="20"/>
                <w:szCs w:val="20"/>
              </w:rPr>
              <w:t>299</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KwaZulu-Natal</w:t>
            </w:r>
          </w:p>
        </w:tc>
        <w:tc>
          <w:tcPr>
            <w:tcW w:w="508" w:type="pct"/>
            <w:vAlign w:val="bottom"/>
          </w:tcPr>
          <w:p w:rsidR="00F0427E" w:rsidRPr="000652B5" w:rsidRDefault="00F0427E" w:rsidP="00FB3C3D">
            <w:pPr>
              <w:ind w:left="153"/>
              <w:jc w:val="both"/>
              <w:rPr>
                <w:sz w:val="20"/>
                <w:szCs w:val="20"/>
              </w:rPr>
            </w:pPr>
            <w:r w:rsidRPr="000652B5">
              <w:rPr>
                <w:sz w:val="20"/>
                <w:szCs w:val="20"/>
              </w:rPr>
              <w:t>60 942</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610</w:t>
            </w:r>
          </w:p>
        </w:tc>
        <w:tc>
          <w:tcPr>
            <w:tcW w:w="592" w:type="pct"/>
            <w:vAlign w:val="bottom"/>
          </w:tcPr>
          <w:p w:rsidR="00F0427E" w:rsidRPr="000652B5" w:rsidRDefault="00F0427E" w:rsidP="00FB3C3D">
            <w:pPr>
              <w:ind w:left="153"/>
              <w:jc w:val="both"/>
              <w:rPr>
                <w:sz w:val="20"/>
                <w:szCs w:val="20"/>
              </w:rPr>
            </w:pPr>
            <w:r w:rsidRPr="000652B5">
              <w:rPr>
                <w:sz w:val="20"/>
                <w:szCs w:val="20"/>
              </w:rPr>
              <w:t>233</w:t>
            </w:r>
          </w:p>
        </w:tc>
        <w:tc>
          <w:tcPr>
            <w:tcW w:w="657" w:type="pct"/>
            <w:vAlign w:val="bottom"/>
          </w:tcPr>
          <w:p w:rsidR="00F0427E" w:rsidRPr="000652B5" w:rsidRDefault="00F0427E" w:rsidP="00FB3C3D">
            <w:pPr>
              <w:ind w:left="153"/>
              <w:jc w:val="both"/>
              <w:rPr>
                <w:sz w:val="20"/>
                <w:szCs w:val="20"/>
              </w:rPr>
            </w:pPr>
            <w:r w:rsidRPr="000652B5">
              <w:rPr>
                <w:sz w:val="20"/>
                <w:szCs w:val="20"/>
              </w:rPr>
              <w:t>651</w:t>
            </w:r>
          </w:p>
        </w:tc>
        <w:tc>
          <w:tcPr>
            <w:tcW w:w="592" w:type="pct"/>
            <w:vAlign w:val="bottom"/>
          </w:tcPr>
          <w:p w:rsidR="00F0427E" w:rsidRPr="000652B5" w:rsidRDefault="00F0427E" w:rsidP="00FB3C3D">
            <w:pPr>
              <w:ind w:left="153"/>
              <w:jc w:val="both"/>
              <w:rPr>
                <w:sz w:val="20"/>
                <w:szCs w:val="20"/>
              </w:rPr>
            </w:pPr>
            <w:r w:rsidRPr="000652B5">
              <w:rPr>
                <w:sz w:val="20"/>
                <w:szCs w:val="20"/>
              </w:rPr>
              <w:t>300</w:t>
            </w:r>
          </w:p>
        </w:tc>
        <w:tc>
          <w:tcPr>
            <w:tcW w:w="526" w:type="pct"/>
            <w:vAlign w:val="bottom"/>
          </w:tcPr>
          <w:p w:rsidR="00F0427E" w:rsidRPr="000652B5" w:rsidRDefault="00F0427E" w:rsidP="00FB3C3D">
            <w:pPr>
              <w:ind w:left="153"/>
              <w:jc w:val="both"/>
              <w:rPr>
                <w:sz w:val="20"/>
                <w:szCs w:val="20"/>
              </w:rPr>
            </w:pPr>
            <w:r w:rsidRPr="000652B5">
              <w:rPr>
                <w:sz w:val="20"/>
                <w:szCs w:val="20"/>
              </w:rPr>
              <w:t>253</w:t>
            </w:r>
          </w:p>
        </w:tc>
        <w:tc>
          <w:tcPr>
            <w:tcW w:w="330" w:type="pct"/>
            <w:vAlign w:val="bottom"/>
          </w:tcPr>
          <w:p w:rsidR="00F0427E" w:rsidRPr="000652B5" w:rsidRDefault="00F0427E" w:rsidP="00FB3C3D">
            <w:pPr>
              <w:ind w:left="153"/>
              <w:jc w:val="both"/>
              <w:rPr>
                <w:sz w:val="20"/>
                <w:szCs w:val="20"/>
              </w:rPr>
            </w:pPr>
            <w:r w:rsidRPr="000652B5">
              <w:rPr>
                <w:sz w:val="20"/>
                <w:szCs w:val="20"/>
              </w:rPr>
              <w:t>178</w:t>
            </w:r>
          </w:p>
        </w:tc>
        <w:tc>
          <w:tcPr>
            <w:tcW w:w="394" w:type="pct"/>
            <w:vAlign w:val="bottom"/>
          </w:tcPr>
          <w:p w:rsidR="00F0427E" w:rsidRPr="000652B5" w:rsidRDefault="00F0427E" w:rsidP="00FB3C3D">
            <w:pPr>
              <w:ind w:left="153"/>
              <w:jc w:val="both"/>
              <w:rPr>
                <w:sz w:val="20"/>
                <w:szCs w:val="20"/>
              </w:rPr>
            </w:pPr>
            <w:r w:rsidRPr="000652B5">
              <w:rPr>
                <w:sz w:val="20"/>
                <w:szCs w:val="20"/>
              </w:rPr>
              <w:t>416</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Limpopo</w:t>
            </w:r>
          </w:p>
        </w:tc>
        <w:tc>
          <w:tcPr>
            <w:tcW w:w="508" w:type="pct"/>
            <w:vAlign w:val="bottom"/>
          </w:tcPr>
          <w:p w:rsidR="00F0427E" w:rsidRPr="000652B5" w:rsidRDefault="00F0427E" w:rsidP="00FB3C3D">
            <w:pPr>
              <w:ind w:left="153"/>
              <w:jc w:val="both"/>
              <w:rPr>
                <w:sz w:val="20"/>
                <w:szCs w:val="20"/>
              </w:rPr>
            </w:pPr>
            <w:r w:rsidRPr="000652B5">
              <w:rPr>
                <w:sz w:val="20"/>
                <w:szCs w:val="20"/>
              </w:rPr>
              <w:t>31 758</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467</w:t>
            </w:r>
          </w:p>
        </w:tc>
        <w:tc>
          <w:tcPr>
            <w:tcW w:w="592" w:type="pct"/>
            <w:vAlign w:val="bottom"/>
          </w:tcPr>
          <w:p w:rsidR="00F0427E" w:rsidRPr="000652B5" w:rsidRDefault="00F0427E" w:rsidP="00FB3C3D">
            <w:pPr>
              <w:ind w:left="153"/>
              <w:jc w:val="both"/>
              <w:rPr>
                <w:sz w:val="20"/>
                <w:szCs w:val="20"/>
              </w:rPr>
            </w:pPr>
            <w:r w:rsidRPr="000652B5">
              <w:rPr>
                <w:sz w:val="20"/>
                <w:szCs w:val="20"/>
              </w:rPr>
              <w:t>100</w:t>
            </w:r>
          </w:p>
        </w:tc>
        <w:tc>
          <w:tcPr>
            <w:tcW w:w="657" w:type="pct"/>
            <w:vAlign w:val="bottom"/>
          </w:tcPr>
          <w:p w:rsidR="00F0427E" w:rsidRPr="000652B5" w:rsidRDefault="00F0427E" w:rsidP="00FB3C3D">
            <w:pPr>
              <w:ind w:left="153"/>
              <w:jc w:val="both"/>
              <w:rPr>
                <w:sz w:val="20"/>
                <w:szCs w:val="20"/>
              </w:rPr>
            </w:pPr>
            <w:r w:rsidRPr="000652B5">
              <w:rPr>
                <w:sz w:val="20"/>
                <w:szCs w:val="20"/>
              </w:rPr>
              <w:t>440</w:t>
            </w:r>
          </w:p>
        </w:tc>
        <w:tc>
          <w:tcPr>
            <w:tcW w:w="592" w:type="pct"/>
            <w:vAlign w:val="bottom"/>
          </w:tcPr>
          <w:p w:rsidR="00F0427E" w:rsidRPr="000652B5" w:rsidRDefault="00F0427E" w:rsidP="00FB3C3D">
            <w:pPr>
              <w:ind w:left="153"/>
              <w:jc w:val="both"/>
              <w:rPr>
                <w:sz w:val="20"/>
                <w:szCs w:val="20"/>
              </w:rPr>
            </w:pPr>
            <w:r w:rsidRPr="000652B5">
              <w:rPr>
                <w:sz w:val="20"/>
                <w:szCs w:val="20"/>
              </w:rPr>
              <w:t>353</w:t>
            </w:r>
          </w:p>
        </w:tc>
        <w:tc>
          <w:tcPr>
            <w:tcW w:w="526" w:type="pct"/>
            <w:vAlign w:val="bottom"/>
          </w:tcPr>
          <w:p w:rsidR="00F0427E" w:rsidRPr="000652B5" w:rsidRDefault="00F0427E" w:rsidP="00FB3C3D">
            <w:pPr>
              <w:ind w:left="153"/>
              <w:jc w:val="both"/>
              <w:rPr>
                <w:sz w:val="20"/>
                <w:szCs w:val="20"/>
              </w:rPr>
            </w:pPr>
            <w:r w:rsidRPr="000652B5">
              <w:rPr>
                <w:sz w:val="20"/>
                <w:szCs w:val="20"/>
              </w:rPr>
              <w:t>222</w:t>
            </w:r>
          </w:p>
        </w:tc>
        <w:tc>
          <w:tcPr>
            <w:tcW w:w="330" w:type="pct"/>
            <w:vAlign w:val="bottom"/>
          </w:tcPr>
          <w:p w:rsidR="00F0427E" w:rsidRPr="000652B5" w:rsidRDefault="00F0427E" w:rsidP="00FB3C3D">
            <w:pPr>
              <w:ind w:left="153"/>
              <w:jc w:val="both"/>
              <w:rPr>
                <w:sz w:val="20"/>
                <w:szCs w:val="20"/>
              </w:rPr>
            </w:pPr>
            <w:r w:rsidRPr="000652B5">
              <w:rPr>
                <w:sz w:val="20"/>
                <w:szCs w:val="20"/>
              </w:rPr>
              <w:t>419</w:t>
            </w:r>
          </w:p>
        </w:tc>
        <w:tc>
          <w:tcPr>
            <w:tcW w:w="394" w:type="pct"/>
            <w:vAlign w:val="bottom"/>
          </w:tcPr>
          <w:p w:rsidR="00F0427E" w:rsidRPr="000652B5" w:rsidRDefault="00F0427E" w:rsidP="00FB3C3D">
            <w:pPr>
              <w:ind w:left="153"/>
              <w:jc w:val="both"/>
              <w:rPr>
                <w:sz w:val="20"/>
                <w:szCs w:val="20"/>
              </w:rPr>
            </w:pPr>
            <w:r w:rsidRPr="000652B5">
              <w:rPr>
                <w:sz w:val="20"/>
                <w:szCs w:val="20"/>
              </w:rPr>
              <w:t>384</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Mpumalanga</w:t>
            </w:r>
          </w:p>
        </w:tc>
        <w:tc>
          <w:tcPr>
            <w:tcW w:w="508" w:type="pct"/>
            <w:vAlign w:val="bottom"/>
          </w:tcPr>
          <w:p w:rsidR="00F0427E" w:rsidRPr="000652B5" w:rsidRDefault="00F0427E" w:rsidP="00FB3C3D">
            <w:pPr>
              <w:ind w:left="153"/>
              <w:jc w:val="both"/>
              <w:rPr>
                <w:sz w:val="20"/>
                <w:szCs w:val="20"/>
              </w:rPr>
            </w:pPr>
            <w:r w:rsidRPr="000652B5">
              <w:rPr>
                <w:sz w:val="20"/>
                <w:szCs w:val="20"/>
              </w:rPr>
              <w:t>22 795</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509</w:t>
            </w:r>
          </w:p>
        </w:tc>
        <w:tc>
          <w:tcPr>
            <w:tcW w:w="592" w:type="pct"/>
            <w:vAlign w:val="bottom"/>
          </w:tcPr>
          <w:p w:rsidR="00F0427E" w:rsidRPr="000652B5" w:rsidRDefault="00F0427E" w:rsidP="00FB3C3D">
            <w:pPr>
              <w:ind w:left="153"/>
              <w:jc w:val="both"/>
              <w:rPr>
                <w:sz w:val="20"/>
                <w:szCs w:val="20"/>
              </w:rPr>
            </w:pPr>
            <w:r w:rsidRPr="000652B5">
              <w:rPr>
                <w:sz w:val="20"/>
                <w:szCs w:val="20"/>
              </w:rPr>
              <w:t>132</w:t>
            </w:r>
          </w:p>
        </w:tc>
        <w:tc>
          <w:tcPr>
            <w:tcW w:w="657" w:type="pct"/>
            <w:vAlign w:val="bottom"/>
          </w:tcPr>
          <w:p w:rsidR="00F0427E" w:rsidRPr="000652B5" w:rsidRDefault="00F0427E" w:rsidP="00FB3C3D">
            <w:pPr>
              <w:ind w:left="153"/>
              <w:jc w:val="both"/>
              <w:rPr>
                <w:sz w:val="20"/>
                <w:szCs w:val="20"/>
              </w:rPr>
            </w:pPr>
            <w:r w:rsidRPr="000652B5">
              <w:rPr>
                <w:sz w:val="20"/>
                <w:szCs w:val="20"/>
              </w:rPr>
              <w:t>467</w:t>
            </w:r>
          </w:p>
        </w:tc>
        <w:tc>
          <w:tcPr>
            <w:tcW w:w="592" w:type="pct"/>
            <w:vAlign w:val="bottom"/>
          </w:tcPr>
          <w:p w:rsidR="00F0427E" w:rsidRPr="000652B5" w:rsidRDefault="00F0427E" w:rsidP="00FB3C3D">
            <w:pPr>
              <w:ind w:left="153"/>
              <w:jc w:val="both"/>
              <w:rPr>
                <w:sz w:val="20"/>
                <w:szCs w:val="20"/>
              </w:rPr>
            </w:pPr>
            <w:r w:rsidRPr="000652B5">
              <w:rPr>
                <w:sz w:val="20"/>
                <w:szCs w:val="20"/>
              </w:rPr>
              <w:t>396</w:t>
            </w:r>
          </w:p>
        </w:tc>
        <w:tc>
          <w:tcPr>
            <w:tcW w:w="526" w:type="pct"/>
            <w:vAlign w:val="bottom"/>
          </w:tcPr>
          <w:p w:rsidR="00F0427E" w:rsidRPr="000652B5" w:rsidRDefault="00F0427E" w:rsidP="00FB3C3D">
            <w:pPr>
              <w:ind w:left="153"/>
              <w:jc w:val="both"/>
              <w:rPr>
                <w:sz w:val="20"/>
                <w:szCs w:val="20"/>
              </w:rPr>
            </w:pPr>
            <w:r w:rsidRPr="000652B5">
              <w:rPr>
                <w:sz w:val="20"/>
                <w:szCs w:val="20"/>
              </w:rPr>
              <w:t>183</w:t>
            </w:r>
          </w:p>
        </w:tc>
        <w:tc>
          <w:tcPr>
            <w:tcW w:w="330" w:type="pct"/>
            <w:vAlign w:val="bottom"/>
          </w:tcPr>
          <w:p w:rsidR="00F0427E" w:rsidRPr="000652B5" w:rsidRDefault="00F0427E" w:rsidP="00FB3C3D">
            <w:pPr>
              <w:ind w:left="153"/>
              <w:jc w:val="both"/>
              <w:rPr>
                <w:sz w:val="20"/>
                <w:szCs w:val="20"/>
              </w:rPr>
            </w:pPr>
            <w:r w:rsidRPr="000652B5">
              <w:rPr>
                <w:sz w:val="20"/>
                <w:szCs w:val="20"/>
              </w:rPr>
              <w:t>444</w:t>
            </w:r>
          </w:p>
        </w:tc>
        <w:tc>
          <w:tcPr>
            <w:tcW w:w="394" w:type="pct"/>
            <w:vAlign w:val="bottom"/>
          </w:tcPr>
          <w:p w:rsidR="00F0427E" w:rsidRPr="000652B5" w:rsidRDefault="00F0427E" w:rsidP="00FB3C3D">
            <w:pPr>
              <w:ind w:left="153"/>
              <w:jc w:val="both"/>
              <w:rPr>
                <w:sz w:val="20"/>
                <w:szCs w:val="20"/>
              </w:rPr>
            </w:pPr>
            <w:r w:rsidRPr="000652B5">
              <w:rPr>
                <w:sz w:val="20"/>
                <w:szCs w:val="20"/>
              </w:rPr>
              <w:t>410</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Northern Cape</w:t>
            </w:r>
          </w:p>
        </w:tc>
        <w:tc>
          <w:tcPr>
            <w:tcW w:w="508" w:type="pct"/>
            <w:vAlign w:val="bottom"/>
          </w:tcPr>
          <w:p w:rsidR="00F0427E" w:rsidRPr="000652B5" w:rsidRDefault="00F0427E" w:rsidP="00FB3C3D">
            <w:pPr>
              <w:ind w:left="153"/>
              <w:jc w:val="both"/>
              <w:rPr>
                <w:sz w:val="20"/>
                <w:szCs w:val="20"/>
              </w:rPr>
            </w:pPr>
            <w:r w:rsidRPr="000652B5">
              <w:rPr>
                <w:sz w:val="20"/>
                <w:szCs w:val="20"/>
              </w:rPr>
              <w:t>8 428</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671</w:t>
            </w:r>
          </w:p>
        </w:tc>
        <w:tc>
          <w:tcPr>
            <w:tcW w:w="592" w:type="pct"/>
            <w:vAlign w:val="bottom"/>
          </w:tcPr>
          <w:p w:rsidR="00F0427E" w:rsidRPr="000652B5" w:rsidRDefault="00F0427E" w:rsidP="00FB3C3D">
            <w:pPr>
              <w:ind w:left="153"/>
              <w:jc w:val="both"/>
              <w:rPr>
                <w:sz w:val="20"/>
                <w:szCs w:val="20"/>
              </w:rPr>
            </w:pPr>
            <w:r w:rsidRPr="000652B5">
              <w:rPr>
                <w:sz w:val="20"/>
                <w:szCs w:val="20"/>
              </w:rPr>
              <w:t>212</w:t>
            </w:r>
          </w:p>
        </w:tc>
        <w:tc>
          <w:tcPr>
            <w:tcW w:w="657" w:type="pct"/>
            <w:vAlign w:val="bottom"/>
          </w:tcPr>
          <w:p w:rsidR="00F0427E" w:rsidRPr="000652B5" w:rsidRDefault="00F0427E" w:rsidP="00FB3C3D">
            <w:pPr>
              <w:ind w:left="153"/>
              <w:jc w:val="both"/>
              <w:rPr>
                <w:sz w:val="20"/>
                <w:szCs w:val="20"/>
              </w:rPr>
            </w:pPr>
            <w:r w:rsidRPr="000652B5">
              <w:rPr>
                <w:sz w:val="20"/>
                <w:szCs w:val="20"/>
              </w:rPr>
              <w:t>361</w:t>
            </w:r>
          </w:p>
        </w:tc>
        <w:tc>
          <w:tcPr>
            <w:tcW w:w="592" w:type="pct"/>
            <w:vAlign w:val="bottom"/>
          </w:tcPr>
          <w:p w:rsidR="00F0427E" w:rsidRPr="000652B5" w:rsidRDefault="00F0427E" w:rsidP="00FB3C3D">
            <w:pPr>
              <w:ind w:left="153"/>
              <w:jc w:val="both"/>
              <w:rPr>
                <w:sz w:val="20"/>
                <w:szCs w:val="20"/>
              </w:rPr>
            </w:pPr>
            <w:r w:rsidRPr="000652B5">
              <w:rPr>
                <w:sz w:val="20"/>
                <w:szCs w:val="20"/>
              </w:rPr>
              <w:t>602</w:t>
            </w:r>
          </w:p>
        </w:tc>
        <w:tc>
          <w:tcPr>
            <w:tcW w:w="526" w:type="pct"/>
            <w:vAlign w:val="bottom"/>
          </w:tcPr>
          <w:p w:rsidR="00F0427E" w:rsidRPr="000652B5" w:rsidRDefault="00F0427E" w:rsidP="00FB3C3D">
            <w:pPr>
              <w:ind w:left="153"/>
              <w:jc w:val="both"/>
              <w:rPr>
                <w:sz w:val="20"/>
                <w:szCs w:val="20"/>
              </w:rPr>
            </w:pPr>
            <w:r w:rsidRPr="000652B5">
              <w:rPr>
                <w:sz w:val="20"/>
                <w:szCs w:val="20"/>
              </w:rPr>
              <w:t>330</w:t>
            </w:r>
          </w:p>
        </w:tc>
        <w:tc>
          <w:tcPr>
            <w:tcW w:w="330" w:type="pct"/>
            <w:vAlign w:val="bottom"/>
          </w:tcPr>
          <w:p w:rsidR="00F0427E" w:rsidRPr="000652B5" w:rsidRDefault="00F0427E" w:rsidP="00FB3C3D">
            <w:pPr>
              <w:ind w:left="153"/>
              <w:jc w:val="both"/>
              <w:rPr>
                <w:sz w:val="20"/>
                <w:szCs w:val="20"/>
              </w:rPr>
            </w:pPr>
            <w:r w:rsidRPr="000652B5">
              <w:rPr>
                <w:sz w:val="20"/>
                <w:szCs w:val="20"/>
              </w:rPr>
              <w:t>114</w:t>
            </w:r>
          </w:p>
        </w:tc>
        <w:tc>
          <w:tcPr>
            <w:tcW w:w="394" w:type="pct"/>
            <w:vAlign w:val="bottom"/>
          </w:tcPr>
          <w:p w:rsidR="00F0427E" w:rsidRPr="000652B5" w:rsidRDefault="00F0427E" w:rsidP="00FB3C3D">
            <w:pPr>
              <w:ind w:left="153"/>
              <w:jc w:val="both"/>
              <w:rPr>
                <w:sz w:val="20"/>
                <w:szCs w:val="20"/>
              </w:rPr>
            </w:pPr>
            <w:r w:rsidRPr="000652B5">
              <w:rPr>
                <w:sz w:val="20"/>
                <w:szCs w:val="20"/>
              </w:rPr>
              <w:t>535</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North West</w:t>
            </w:r>
          </w:p>
        </w:tc>
        <w:tc>
          <w:tcPr>
            <w:tcW w:w="508" w:type="pct"/>
            <w:vAlign w:val="bottom"/>
          </w:tcPr>
          <w:p w:rsidR="00F0427E" w:rsidRPr="000652B5" w:rsidRDefault="00F0427E" w:rsidP="00FB3C3D">
            <w:pPr>
              <w:ind w:left="153"/>
              <w:jc w:val="both"/>
              <w:rPr>
                <w:sz w:val="20"/>
                <w:szCs w:val="20"/>
              </w:rPr>
            </w:pPr>
            <w:r w:rsidRPr="000652B5">
              <w:rPr>
                <w:sz w:val="20"/>
                <w:szCs w:val="20"/>
              </w:rPr>
              <w:t>16 569</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422</w:t>
            </w:r>
          </w:p>
        </w:tc>
        <w:tc>
          <w:tcPr>
            <w:tcW w:w="592" w:type="pct"/>
            <w:vAlign w:val="bottom"/>
          </w:tcPr>
          <w:p w:rsidR="00F0427E" w:rsidRPr="000652B5" w:rsidRDefault="00F0427E" w:rsidP="00FB3C3D">
            <w:pPr>
              <w:ind w:left="153"/>
              <w:jc w:val="both"/>
              <w:rPr>
                <w:sz w:val="20"/>
                <w:szCs w:val="20"/>
              </w:rPr>
            </w:pPr>
            <w:r w:rsidRPr="000652B5">
              <w:rPr>
                <w:sz w:val="20"/>
                <w:szCs w:val="20"/>
              </w:rPr>
              <w:t>117</w:t>
            </w:r>
          </w:p>
        </w:tc>
        <w:tc>
          <w:tcPr>
            <w:tcW w:w="657" w:type="pct"/>
            <w:vAlign w:val="bottom"/>
          </w:tcPr>
          <w:p w:rsidR="00F0427E" w:rsidRPr="000652B5" w:rsidRDefault="00F0427E" w:rsidP="00FB3C3D">
            <w:pPr>
              <w:ind w:left="153"/>
              <w:jc w:val="both"/>
              <w:rPr>
                <w:sz w:val="20"/>
                <w:szCs w:val="20"/>
              </w:rPr>
            </w:pPr>
            <w:r w:rsidRPr="000652B5">
              <w:rPr>
                <w:sz w:val="20"/>
                <w:szCs w:val="20"/>
              </w:rPr>
              <w:t>322</w:t>
            </w:r>
          </w:p>
        </w:tc>
        <w:tc>
          <w:tcPr>
            <w:tcW w:w="592" w:type="pct"/>
            <w:vAlign w:val="bottom"/>
          </w:tcPr>
          <w:p w:rsidR="00F0427E" w:rsidRPr="000652B5" w:rsidRDefault="00F0427E" w:rsidP="00FB3C3D">
            <w:pPr>
              <w:ind w:left="153"/>
              <w:jc w:val="both"/>
              <w:rPr>
                <w:sz w:val="20"/>
                <w:szCs w:val="20"/>
              </w:rPr>
            </w:pPr>
            <w:r w:rsidRPr="000652B5">
              <w:rPr>
                <w:sz w:val="20"/>
                <w:szCs w:val="20"/>
              </w:rPr>
              <w:t>395</w:t>
            </w:r>
          </w:p>
        </w:tc>
        <w:tc>
          <w:tcPr>
            <w:tcW w:w="526" w:type="pct"/>
            <w:vAlign w:val="bottom"/>
          </w:tcPr>
          <w:p w:rsidR="00F0427E" w:rsidRPr="000652B5" w:rsidRDefault="00F0427E" w:rsidP="00FB3C3D">
            <w:pPr>
              <w:ind w:left="153"/>
              <w:jc w:val="both"/>
              <w:rPr>
                <w:sz w:val="20"/>
                <w:szCs w:val="20"/>
              </w:rPr>
            </w:pPr>
            <w:r w:rsidRPr="000652B5">
              <w:rPr>
                <w:sz w:val="20"/>
                <w:szCs w:val="20"/>
              </w:rPr>
              <w:t>124</w:t>
            </w:r>
          </w:p>
        </w:tc>
        <w:tc>
          <w:tcPr>
            <w:tcW w:w="330" w:type="pct"/>
            <w:vAlign w:val="bottom"/>
          </w:tcPr>
          <w:p w:rsidR="00F0427E" w:rsidRPr="000652B5" w:rsidRDefault="00F0427E" w:rsidP="00FB3C3D">
            <w:pPr>
              <w:ind w:left="153"/>
              <w:jc w:val="both"/>
              <w:rPr>
                <w:sz w:val="20"/>
                <w:szCs w:val="20"/>
              </w:rPr>
            </w:pPr>
            <w:r w:rsidRPr="000652B5">
              <w:rPr>
                <w:sz w:val="20"/>
                <w:szCs w:val="20"/>
              </w:rPr>
              <w:t>63</w:t>
            </w:r>
          </w:p>
        </w:tc>
        <w:tc>
          <w:tcPr>
            <w:tcW w:w="394" w:type="pct"/>
            <w:vAlign w:val="bottom"/>
          </w:tcPr>
          <w:p w:rsidR="00F0427E" w:rsidRPr="000652B5" w:rsidRDefault="00F0427E" w:rsidP="00FB3C3D">
            <w:pPr>
              <w:ind w:left="153"/>
              <w:jc w:val="both"/>
              <w:rPr>
                <w:sz w:val="20"/>
                <w:szCs w:val="20"/>
              </w:rPr>
            </w:pPr>
            <w:r w:rsidRPr="000652B5">
              <w:rPr>
                <w:sz w:val="20"/>
                <w:szCs w:val="20"/>
              </w:rPr>
              <w:t>352</w:t>
            </w:r>
          </w:p>
        </w:tc>
      </w:tr>
      <w:tr w:rsidR="00F0427E" w:rsidRPr="00BD487C" w:rsidTr="00FB3C3D">
        <w:trPr>
          <w:trHeight w:val="345"/>
        </w:trPr>
        <w:tc>
          <w:tcPr>
            <w:tcW w:w="743"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Western Cape</w:t>
            </w:r>
          </w:p>
        </w:tc>
        <w:tc>
          <w:tcPr>
            <w:tcW w:w="508" w:type="pct"/>
            <w:vAlign w:val="bottom"/>
          </w:tcPr>
          <w:p w:rsidR="00F0427E" w:rsidRPr="000652B5" w:rsidRDefault="00F0427E" w:rsidP="00FB3C3D">
            <w:pPr>
              <w:ind w:left="153"/>
              <w:jc w:val="both"/>
              <w:rPr>
                <w:sz w:val="20"/>
                <w:szCs w:val="20"/>
              </w:rPr>
            </w:pPr>
            <w:r w:rsidRPr="000652B5">
              <w:rPr>
                <w:sz w:val="20"/>
                <w:szCs w:val="20"/>
              </w:rPr>
              <w:t>30 559</w:t>
            </w:r>
          </w:p>
        </w:tc>
        <w:tc>
          <w:tcPr>
            <w:tcW w:w="658" w:type="pct"/>
            <w:shd w:val="clear" w:color="auto" w:fill="auto"/>
            <w:noWrap/>
            <w:vAlign w:val="bottom"/>
            <w:hideMark/>
          </w:tcPr>
          <w:p w:rsidR="00F0427E" w:rsidRPr="000652B5" w:rsidRDefault="00F0427E" w:rsidP="00FB3C3D">
            <w:pPr>
              <w:ind w:left="153"/>
              <w:jc w:val="both"/>
              <w:rPr>
                <w:sz w:val="20"/>
                <w:szCs w:val="20"/>
              </w:rPr>
            </w:pPr>
            <w:r w:rsidRPr="000652B5">
              <w:rPr>
                <w:sz w:val="20"/>
                <w:szCs w:val="20"/>
              </w:rPr>
              <w:t>379</w:t>
            </w:r>
          </w:p>
        </w:tc>
        <w:tc>
          <w:tcPr>
            <w:tcW w:w="592" w:type="pct"/>
            <w:vAlign w:val="bottom"/>
          </w:tcPr>
          <w:p w:rsidR="00F0427E" w:rsidRPr="000652B5" w:rsidRDefault="00F0427E" w:rsidP="00FB3C3D">
            <w:pPr>
              <w:ind w:left="153"/>
              <w:jc w:val="both"/>
              <w:rPr>
                <w:sz w:val="20"/>
                <w:szCs w:val="20"/>
              </w:rPr>
            </w:pPr>
            <w:r w:rsidRPr="000652B5">
              <w:rPr>
                <w:sz w:val="20"/>
                <w:szCs w:val="20"/>
              </w:rPr>
              <w:t>154</w:t>
            </w:r>
          </w:p>
        </w:tc>
        <w:tc>
          <w:tcPr>
            <w:tcW w:w="657" w:type="pct"/>
            <w:vAlign w:val="bottom"/>
          </w:tcPr>
          <w:p w:rsidR="00F0427E" w:rsidRPr="000652B5" w:rsidRDefault="00F0427E" w:rsidP="00FB3C3D">
            <w:pPr>
              <w:ind w:left="153"/>
              <w:jc w:val="both"/>
              <w:rPr>
                <w:sz w:val="20"/>
                <w:szCs w:val="20"/>
              </w:rPr>
            </w:pPr>
            <w:r w:rsidRPr="000652B5">
              <w:rPr>
                <w:sz w:val="20"/>
                <w:szCs w:val="20"/>
              </w:rPr>
              <w:t>272</w:t>
            </w:r>
          </w:p>
        </w:tc>
        <w:tc>
          <w:tcPr>
            <w:tcW w:w="592" w:type="pct"/>
            <w:vAlign w:val="bottom"/>
          </w:tcPr>
          <w:p w:rsidR="00F0427E" w:rsidRPr="000652B5" w:rsidRDefault="00F0427E" w:rsidP="00FB3C3D">
            <w:pPr>
              <w:ind w:left="153"/>
              <w:jc w:val="both"/>
              <w:rPr>
                <w:sz w:val="20"/>
                <w:szCs w:val="20"/>
              </w:rPr>
            </w:pPr>
            <w:r w:rsidRPr="000652B5">
              <w:rPr>
                <w:sz w:val="20"/>
                <w:szCs w:val="20"/>
              </w:rPr>
              <w:t>249</w:t>
            </w:r>
          </w:p>
        </w:tc>
        <w:tc>
          <w:tcPr>
            <w:tcW w:w="526" w:type="pct"/>
            <w:vAlign w:val="bottom"/>
          </w:tcPr>
          <w:p w:rsidR="00F0427E" w:rsidRPr="000652B5" w:rsidRDefault="00F0427E" w:rsidP="00FB3C3D">
            <w:pPr>
              <w:ind w:left="153"/>
              <w:jc w:val="both"/>
              <w:rPr>
                <w:sz w:val="20"/>
                <w:szCs w:val="20"/>
              </w:rPr>
            </w:pPr>
            <w:r w:rsidRPr="000652B5">
              <w:rPr>
                <w:sz w:val="20"/>
                <w:szCs w:val="20"/>
              </w:rPr>
              <w:t>154</w:t>
            </w:r>
          </w:p>
        </w:tc>
        <w:tc>
          <w:tcPr>
            <w:tcW w:w="330" w:type="pct"/>
            <w:vAlign w:val="bottom"/>
          </w:tcPr>
          <w:p w:rsidR="00F0427E" w:rsidRPr="000652B5" w:rsidRDefault="00F0427E" w:rsidP="00FB3C3D">
            <w:pPr>
              <w:ind w:left="153"/>
              <w:jc w:val="both"/>
              <w:rPr>
                <w:sz w:val="20"/>
                <w:szCs w:val="20"/>
              </w:rPr>
            </w:pPr>
            <w:r w:rsidRPr="000652B5">
              <w:rPr>
                <w:sz w:val="20"/>
                <w:szCs w:val="20"/>
              </w:rPr>
              <w:t>130</w:t>
            </w:r>
          </w:p>
        </w:tc>
        <w:tc>
          <w:tcPr>
            <w:tcW w:w="394" w:type="pct"/>
            <w:vAlign w:val="bottom"/>
          </w:tcPr>
          <w:p w:rsidR="00F0427E" w:rsidRPr="000652B5" w:rsidRDefault="00F0427E" w:rsidP="00FB3C3D">
            <w:pPr>
              <w:ind w:left="153"/>
              <w:jc w:val="both"/>
              <w:rPr>
                <w:sz w:val="20"/>
                <w:szCs w:val="20"/>
              </w:rPr>
            </w:pPr>
            <w:r w:rsidRPr="000652B5">
              <w:rPr>
                <w:sz w:val="20"/>
                <w:szCs w:val="20"/>
              </w:rPr>
              <w:t>237</w:t>
            </w:r>
          </w:p>
        </w:tc>
      </w:tr>
      <w:tr w:rsidR="00F0427E" w:rsidRPr="00BD487C" w:rsidTr="00FB3C3D">
        <w:trPr>
          <w:trHeight w:val="345"/>
        </w:trPr>
        <w:tc>
          <w:tcPr>
            <w:tcW w:w="743" w:type="pct"/>
            <w:shd w:val="clear" w:color="auto" w:fill="auto"/>
            <w:noWrap/>
            <w:vAlign w:val="bottom"/>
          </w:tcPr>
          <w:p w:rsidR="00F0427E" w:rsidRPr="000652B5" w:rsidRDefault="00F0427E" w:rsidP="00FB3C3D">
            <w:pPr>
              <w:ind w:left="153"/>
              <w:jc w:val="both"/>
              <w:rPr>
                <w:b/>
                <w:bCs/>
                <w:sz w:val="20"/>
                <w:szCs w:val="20"/>
              </w:rPr>
            </w:pPr>
            <w:r w:rsidRPr="000652B5">
              <w:rPr>
                <w:b/>
                <w:bCs/>
                <w:sz w:val="20"/>
                <w:szCs w:val="20"/>
              </w:rPr>
              <w:t>South Africa</w:t>
            </w:r>
          </w:p>
        </w:tc>
        <w:tc>
          <w:tcPr>
            <w:tcW w:w="508" w:type="pct"/>
            <w:tcBorders>
              <w:top w:val="single" w:sz="4" w:space="0" w:color="auto"/>
              <w:left w:val="single" w:sz="8" w:space="0" w:color="auto"/>
              <w:bottom w:val="single" w:sz="8" w:space="0" w:color="auto"/>
              <w:right w:val="single" w:sz="8" w:space="0" w:color="auto"/>
            </w:tcBorders>
            <w:shd w:val="clear" w:color="auto" w:fill="auto"/>
            <w:vAlign w:val="bottom"/>
          </w:tcPr>
          <w:p w:rsidR="00F0427E" w:rsidRPr="000652B5" w:rsidRDefault="00F0427E" w:rsidP="00FB3C3D">
            <w:pPr>
              <w:ind w:left="153"/>
              <w:jc w:val="both"/>
              <w:rPr>
                <w:b/>
                <w:bCs/>
                <w:sz w:val="20"/>
                <w:szCs w:val="20"/>
              </w:rPr>
            </w:pPr>
            <w:r w:rsidRPr="000652B5">
              <w:rPr>
                <w:b/>
                <w:bCs/>
                <w:sz w:val="20"/>
                <w:szCs w:val="20"/>
              </w:rPr>
              <w:t>295 135</w:t>
            </w:r>
          </w:p>
        </w:tc>
        <w:tc>
          <w:tcPr>
            <w:tcW w:w="658" w:type="pct"/>
            <w:tcBorders>
              <w:top w:val="single" w:sz="4" w:space="0" w:color="auto"/>
              <w:left w:val="nil"/>
              <w:bottom w:val="single" w:sz="8" w:space="0" w:color="auto"/>
              <w:right w:val="single" w:sz="8" w:space="0" w:color="auto"/>
            </w:tcBorders>
            <w:shd w:val="clear" w:color="auto" w:fill="auto"/>
            <w:noWrap/>
            <w:vAlign w:val="bottom"/>
          </w:tcPr>
          <w:p w:rsidR="00F0427E" w:rsidRPr="000652B5" w:rsidRDefault="00F0427E" w:rsidP="00FB3C3D">
            <w:pPr>
              <w:ind w:left="153"/>
              <w:jc w:val="both"/>
              <w:rPr>
                <w:b/>
                <w:bCs/>
                <w:sz w:val="20"/>
                <w:szCs w:val="20"/>
              </w:rPr>
            </w:pPr>
            <w:r w:rsidRPr="000652B5">
              <w:rPr>
                <w:b/>
                <w:bCs/>
                <w:sz w:val="20"/>
                <w:szCs w:val="20"/>
              </w:rPr>
              <w:t>497</w:t>
            </w:r>
          </w:p>
        </w:tc>
        <w:tc>
          <w:tcPr>
            <w:tcW w:w="592" w:type="pct"/>
            <w:tcBorders>
              <w:top w:val="single" w:sz="4" w:space="0" w:color="auto"/>
              <w:left w:val="nil"/>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183</w:t>
            </w:r>
          </w:p>
        </w:tc>
        <w:tc>
          <w:tcPr>
            <w:tcW w:w="657" w:type="pct"/>
            <w:tcBorders>
              <w:top w:val="single" w:sz="4" w:space="0" w:color="auto"/>
              <w:left w:val="nil"/>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389</w:t>
            </w:r>
          </w:p>
        </w:tc>
        <w:tc>
          <w:tcPr>
            <w:tcW w:w="592" w:type="pct"/>
            <w:tcBorders>
              <w:top w:val="single" w:sz="4" w:space="0" w:color="auto"/>
              <w:left w:val="nil"/>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318</w:t>
            </w:r>
          </w:p>
        </w:tc>
        <w:tc>
          <w:tcPr>
            <w:tcW w:w="526" w:type="pct"/>
            <w:tcBorders>
              <w:top w:val="single" w:sz="4" w:space="0" w:color="auto"/>
              <w:left w:val="nil"/>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179</w:t>
            </w:r>
          </w:p>
        </w:tc>
        <w:tc>
          <w:tcPr>
            <w:tcW w:w="330" w:type="pct"/>
            <w:tcBorders>
              <w:top w:val="single" w:sz="4" w:space="0" w:color="auto"/>
              <w:left w:val="single" w:sz="8" w:space="0" w:color="auto"/>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218</w:t>
            </w:r>
          </w:p>
        </w:tc>
        <w:tc>
          <w:tcPr>
            <w:tcW w:w="394" w:type="pct"/>
            <w:tcBorders>
              <w:top w:val="single" w:sz="4" w:space="0" w:color="auto"/>
              <w:left w:val="single" w:sz="8" w:space="0" w:color="auto"/>
              <w:bottom w:val="single" w:sz="8" w:space="0" w:color="auto"/>
              <w:right w:val="single" w:sz="8" w:space="0" w:color="auto"/>
            </w:tcBorders>
            <w:vAlign w:val="bottom"/>
          </w:tcPr>
          <w:p w:rsidR="00F0427E" w:rsidRPr="000652B5" w:rsidRDefault="00F0427E" w:rsidP="00FB3C3D">
            <w:pPr>
              <w:ind w:left="153"/>
              <w:jc w:val="both"/>
              <w:rPr>
                <w:b/>
                <w:bCs/>
                <w:sz w:val="20"/>
                <w:szCs w:val="20"/>
              </w:rPr>
            </w:pPr>
            <w:r w:rsidRPr="000652B5">
              <w:rPr>
                <w:b/>
                <w:bCs/>
                <w:sz w:val="20"/>
                <w:szCs w:val="20"/>
              </w:rPr>
              <w:t>342</w:t>
            </w:r>
          </w:p>
        </w:tc>
      </w:tr>
    </w:tbl>
    <w:p w:rsidR="00F0427E" w:rsidRPr="009457C8" w:rsidRDefault="00F0427E" w:rsidP="00F0427E">
      <w:pPr>
        <w:jc w:val="both"/>
        <w:rPr>
          <w:b/>
          <w:sz w:val="18"/>
          <w:szCs w:val="20"/>
        </w:rPr>
      </w:pPr>
      <w:r w:rsidRPr="009457C8">
        <w:rPr>
          <w:b/>
          <w:sz w:val="18"/>
          <w:szCs w:val="20"/>
        </w:rPr>
        <w:t>Table B</w:t>
      </w:r>
    </w:p>
    <w:p w:rsidR="00F0427E" w:rsidRPr="00DE438A" w:rsidRDefault="00F0427E" w:rsidP="00F0427E">
      <w:pPr>
        <w:rPr>
          <w:b/>
          <w:bCs/>
          <w:sz w:val="44"/>
          <w:szCs w:val="44"/>
          <w:u w:val="single"/>
        </w:rPr>
      </w:pPr>
    </w:p>
    <w:sectPr w:rsidR="00F0427E" w:rsidRPr="00DE438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14" w:rsidRDefault="00B47314">
      <w:r>
        <w:separator/>
      </w:r>
    </w:p>
  </w:endnote>
  <w:endnote w:type="continuationSeparator" w:id="0">
    <w:p w:rsidR="00B47314" w:rsidRDefault="00B47314">
      <w:r>
        <w:continuationSeparator/>
      </w:r>
    </w:p>
  </w:endnote>
  <w:endnote w:id="1">
    <w:p w:rsidR="00F0427E" w:rsidRDefault="00F0427E" w:rsidP="00F0427E">
      <w:pPr>
        <w:pStyle w:val="EndnoteText"/>
        <w:rPr>
          <w:rFonts w:ascii="Arial" w:hAnsi="Arial" w:cs="Arial"/>
          <w:sz w:val="16"/>
          <w:szCs w:val="16"/>
        </w:rPr>
      </w:pPr>
      <w:r>
        <w:rPr>
          <w:rStyle w:val="EndnoteReference"/>
        </w:rPr>
        <w:endnoteRef/>
      </w:r>
      <w:r>
        <w:t xml:space="preserve"> </w:t>
      </w:r>
      <w:r w:rsidRPr="009457C8">
        <w:rPr>
          <w:rFonts w:ascii="Arial" w:hAnsi="Arial" w:cs="Arial"/>
          <w:sz w:val="16"/>
          <w:szCs w:val="16"/>
        </w:rPr>
        <w:t xml:space="preserve">Bradshaw D, </w:t>
      </w:r>
      <w:proofErr w:type="spellStart"/>
      <w:r w:rsidRPr="009457C8">
        <w:rPr>
          <w:rFonts w:ascii="Arial" w:hAnsi="Arial" w:cs="Arial"/>
          <w:sz w:val="16"/>
          <w:szCs w:val="16"/>
        </w:rPr>
        <w:t>Dorrington</w:t>
      </w:r>
      <w:proofErr w:type="spellEnd"/>
      <w:r w:rsidRPr="009457C8">
        <w:rPr>
          <w:rFonts w:ascii="Arial" w:hAnsi="Arial" w:cs="Arial"/>
          <w:sz w:val="16"/>
          <w:szCs w:val="16"/>
        </w:rPr>
        <w:t xml:space="preserve"> R, </w:t>
      </w:r>
      <w:proofErr w:type="spellStart"/>
      <w:r w:rsidRPr="009457C8">
        <w:rPr>
          <w:rFonts w:ascii="Arial" w:hAnsi="Arial" w:cs="Arial"/>
          <w:sz w:val="16"/>
          <w:szCs w:val="16"/>
        </w:rPr>
        <w:t>Laubscher</w:t>
      </w:r>
      <w:proofErr w:type="spellEnd"/>
      <w:r w:rsidRPr="009457C8">
        <w:rPr>
          <w:rFonts w:ascii="Arial" w:hAnsi="Arial" w:cs="Arial"/>
          <w:sz w:val="16"/>
          <w:szCs w:val="16"/>
        </w:rPr>
        <w:t xml:space="preserve"> R, </w:t>
      </w:r>
      <w:proofErr w:type="spellStart"/>
      <w:r w:rsidRPr="009457C8">
        <w:rPr>
          <w:rFonts w:ascii="Arial" w:hAnsi="Arial" w:cs="Arial"/>
          <w:sz w:val="16"/>
          <w:szCs w:val="16"/>
        </w:rPr>
        <w:t>Groenewald</w:t>
      </w:r>
      <w:proofErr w:type="spellEnd"/>
      <w:r w:rsidRPr="009457C8">
        <w:rPr>
          <w:rFonts w:ascii="Arial" w:hAnsi="Arial" w:cs="Arial"/>
          <w:sz w:val="16"/>
          <w:szCs w:val="16"/>
        </w:rPr>
        <w:t xml:space="preserve"> P, Moultrie T. COVID-19 and all-cause mortality in South Africa – the hidden deaths in the first four waves. </w:t>
      </w:r>
      <w:proofErr w:type="gramStart"/>
      <w:r w:rsidRPr="009457C8">
        <w:rPr>
          <w:rFonts w:ascii="Arial" w:hAnsi="Arial" w:cs="Arial"/>
          <w:sz w:val="16"/>
          <w:szCs w:val="16"/>
        </w:rPr>
        <w:t>South African Journal of Science.</w:t>
      </w:r>
      <w:proofErr w:type="gramEnd"/>
      <w:r w:rsidRPr="009457C8">
        <w:rPr>
          <w:rFonts w:ascii="Arial" w:hAnsi="Arial" w:cs="Arial"/>
          <w:sz w:val="16"/>
          <w:szCs w:val="16"/>
        </w:rPr>
        <w:t xml:space="preserve"> </w:t>
      </w:r>
      <w:proofErr w:type="gramStart"/>
      <w:r w:rsidRPr="009457C8">
        <w:rPr>
          <w:rFonts w:ascii="Arial" w:hAnsi="Arial" w:cs="Arial"/>
          <w:sz w:val="16"/>
          <w:szCs w:val="16"/>
        </w:rPr>
        <w:t>(In Press).</w:t>
      </w:r>
      <w:proofErr w:type="gramEnd"/>
    </w:p>
    <w:p w:rsidR="00F0427E" w:rsidRDefault="00F0427E" w:rsidP="00F0427E">
      <w:pPr>
        <w:pStyle w:val="EndnoteText"/>
        <w:rPr>
          <w:rFonts w:ascii="Arial" w:hAnsi="Arial" w:cs="Arial"/>
          <w:sz w:val="16"/>
          <w:szCs w:val="16"/>
        </w:rPr>
      </w:pPr>
    </w:p>
    <w:p w:rsidR="00F0427E" w:rsidRDefault="00F0427E" w:rsidP="00F0427E">
      <w:pPr>
        <w:pStyle w:val="EndnoteText"/>
        <w:rPr>
          <w:rFonts w:ascii="Arial" w:hAnsi="Arial" w:cs="Arial"/>
          <w:sz w:val="16"/>
          <w:szCs w:val="16"/>
        </w:rPr>
      </w:pPr>
    </w:p>
    <w:p w:rsidR="00F0427E" w:rsidRDefault="00F0427E" w:rsidP="00F0427E">
      <w:pPr>
        <w:pStyle w:val="EndnoteText"/>
        <w:rPr>
          <w:rFonts w:ascii="Arial" w:hAnsi="Arial" w:cs="Arial"/>
          <w:sz w:val="16"/>
          <w:szCs w:val="16"/>
        </w:rPr>
      </w:pPr>
    </w:p>
    <w:p w:rsidR="00F0427E" w:rsidRDefault="00F0427E" w:rsidP="00F0427E">
      <w:pPr>
        <w:pStyle w:val="EndnoteText"/>
        <w:rPr>
          <w:rFonts w:ascii="Arial" w:hAnsi="Arial" w:cs="Arial"/>
          <w:sz w:val="24"/>
          <w:szCs w:val="24"/>
        </w:rPr>
      </w:pPr>
      <w:r w:rsidRPr="002E4F83">
        <w:rPr>
          <w:rFonts w:ascii="Arial" w:hAnsi="Arial" w:cs="Arial"/>
          <w:sz w:val="24"/>
          <w:szCs w:val="24"/>
        </w:rPr>
        <w:t>END.</w:t>
      </w:r>
    </w:p>
    <w:p w:rsidR="00F0427E" w:rsidRDefault="00F0427E" w:rsidP="00F0427E">
      <w:pPr>
        <w:pStyle w:val="EndnoteText"/>
        <w:rPr>
          <w:sz w:val="24"/>
          <w:szCs w:val="24"/>
        </w:rPr>
      </w:pPr>
      <w:bookmarkStart w:id="0" w:name="_GoBack"/>
      <w:bookmarkEnd w:id="0"/>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1337</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b/>
          <w:u w:val="single"/>
        </w:rPr>
      </w:pPr>
      <w:r w:rsidRPr="00D234AF">
        <w:rPr>
          <w:b/>
          <w:u w:val="single"/>
        </w:rPr>
        <w:t xml:space="preserve">Ms N </w:t>
      </w:r>
      <w:proofErr w:type="spellStart"/>
      <w:r w:rsidRPr="00D234AF">
        <w:rPr>
          <w:b/>
          <w:u w:val="single"/>
        </w:rPr>
        <w:t>N</w:t>
      </w:r>
      <w:proofErr w:type="spellEnd"/>
      <w:r w:rsidRPr="00D234AF">
        <w:rPr>
          <w:b/>
          <w:u w:val="single"/>
        </w:rPr>
        <w:t xml:space="preserve"> </w:t>
      </w:r>
      <w:proofErr w:type="spellStart"/>
      <w:r w:rsidRPr="00D234AF">
        <w:rPr>
          <w:b/>
          <w:u w:val="single"/>
        </w:rPr>
        <w:t>Chirwa</w:t>
      </w:r>
      <w:proofErr w:type="spellEnd"/>
      <w:r w:rsidRPr="00D234AF">
        <w:rPr>
          <w:b/>
          <w:u w:val="single"/>
        </w:rPr>
        <w:t xml:space="preserve"> (</w:t>
      </w:r>
      <w:r w:rsidRPr="00D234AF">
        <w:rPr>
          <w:b/>
          <w:u w:val="single"/>
          <w:lang w:val="en-US"/>
        </w:rPr>
        <w:t>EFF</w:t>
      </w:r>
      <w:r w:rsidRPr="00D234AF">
        <w:rPr>
          <w:b/>
          <w:u w:val="single"/>
        </w:rPr>
        <w:t>) to ask the Minister of Health</w:t>
      </w:r>
      <w:r w:rsidR="00AA2E7D" w:rsidRPr="00D234AF">
        <w:rPr>
          <w:b/>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u w:val="single"/>
        </w:rPr>
        <w:fldChar w:fldCharType="end"/>
      </w:r>
      <w:r w:rsidRPr="00D234AF">
        <w:rPr>
          <w:b/>
          <w:u w:val="single"/>
        </w:rPr>
        <w:t>:</w:t>
      </w:r>
    </w:p>
    <w:p w:rsidR="00F0427E" w:rsidRPr="00D234AF" w:rsidRDefault="00F0427E" w:rsidP="00F0427E">
      <w:pPr>
        <w:spacing w:before="240" w:after="360"/>
        <w:ind w:right="28" w:firstLine="11"/>
        <w:jc w:val="both"/>
        <w:rPr>
          <w:sz w:val="20"/>
          <w:szCs w:val="20"/>
        </w:rPr>
      </w:pPr>
      <w:r w:rsidRPr="00D234AF">
        <w:rPr>
          <w:color w:val="000000"/>
        </w:rPr>
        <w:t xml:space="preserve">Whether, noting the low intake of vaccines, any additional procurement is taking place currently; if not, why not; if so, what will (a) be his department’s intervention strategy for an uptake in </w:t>
      </w:r>
      <w:r w:rsidRPr="00D234AF">
        <w:t>vaccines</w:t>
      </w:r>
      <w:r w:rsidRPr="00D234AF">
        <w:rPr>
          <w:color w:val="000000"/>
        </w:rPr>
        <w:t xml:space="preserve"> be </w:t>
      </w:r>
      <w:r w:rsidRPr="00D234AF">
        <w:t>and</w:t>
      </w:r>
      <w:r w:rsidRPr="00D234AF">
        <w:rPr>
          <w:color w:val="000000"/>
        </w:rPr>
        <w:t xml:space="preserve"> (b) happen to the vaccines procured, if persons are no </w:t>
      </w:r>
      <w:r w:rsidRPr="00D234AF">
        <w:t>longer</w:t>
      </w:r>
      <w:r w:rsidRPr="00D234AF">
        <w:rPr>
          <w:color w:val="000000"/>
        </w:rPr>
        <w:t xml:space="preserve"> getting boosters as it is expected?</w:t>
      </w:r>
      <w:r w:rsidRPr="00D234AF">
        <w:tab/>
      </w:r>
      <w:r w:rsidRPr="00D234AF">
        <w:tab/>
      </w:r>
      <w:r w:rsidRPr="00D234AF">
        <w:tab/>
      </w:r>
      <w:r w:rsidRPr="00D234AF">
        <w:tab/>
      </w:r>
      <w:r w:rsidRPr="00D234AF">
        <w:tab/>
      </w:r>
      <w:r w:rsidRPr="00D234AF">
        <w:tab/>
      </w:r>
      <w:r w:rsidRPr="00D234AF">
        <w:tab/>
      </w:r>
      <w:r w:rsidRPr="00D234AF">
        <w:tab/>
      </w:r>
      <w:r w:rsidRPr="00D234AF">
        <w:tab/>
      </w:r>
      <w:r w:rsidRPr="00D234AF">
        <w:tab/>
        <w:t xml:space="preserve">         </w:t>
      </w:r>
      <w:r w:rsidRPr="00D234AF">
        <w:rPr>
          <w:sz w:val="20"/>
          <w:szCs w:val="20"/>
        </w:rPr>
        <w:t>NW1475E</w:t>
      </w:r>
    </w:p>
    <w:p w:rsidR="00F0427E" w:rsidRPr="00D234AF" w:rsidRDefault="00F0427E" w:rsidP="00F0427E">
      <w:pPr>
        <w:pStyle w:val="EndnoteText"/>
        <w:rPr>
          <w:rFonts w:ascii="Arial" w:hAnsi="Arial" w:cs="Arial"/>
          <w:b/>
          <w:sz w:val="24"/>
          <w:szCs w:val="24"/>
          <w:u w:val="single"/>
        </w:rPr>
      </w:pPr>
      <w:r w:rsidRPr="00D234AF">
        <w:rPr>
          <w:rFonts w:ascii="Arial" w:hAnsi="Arial" w:cs="Arial"/>
          <w:b/>
          <w:sz w:val="24"/>
          <w:szCs w:val="24"/>
          <w:u w:val="single"/>
        </w:rPr>
        <w:t>REPLY:</w:t>
      </w:r>
    </w:p>
    <w:p w:rsidR="00F0427E" w:rsidRPr="00D234AF" w:rsidRDefault="00F0427E" w:rsidP="00F0427E">
      <w:pPr>
        <w:pStyle w:val="EndnoteText"/>
        <w:rPr>
          <w:rFonts w:ascii="Arial" w:hAnsi="Arial" w:cs="Arial"/>
          <w:sz w:val="24"/>
          <w:szCs w:val="24"/>
        </w:rPr>
      </w:pPr>
    </w:p>
    <w:p w:rsidR="00F0427E" w:rsidRPr="003A670A" w:rsidRDefault="00F0427E" w:rsidP="00F0427E">
      <w:pPr>
        <w:jc w:val="both"/>
        <w:rPr>
          <w:bCs/>
        </w:rPr>
      </w:pPr>
      <w:r w:rsidRPr="003A670A">
        <w:rPr>
          <w:bCs/>
        </w:rPr>
        <w:t xml:space="preserve">As of April 2022, 23 million doses of vaccine were available in South Africa. Given the continuing low uptake of vaccination, there is a high risk that a significant number of doses will not be utilised before their expiry date. In light of this situation, no vaccines are currently being procured. </w:t>
      </w:r>
    </w:p>
    <w:p w:rsidR="00F0427E" w:rsidRPr="003A670A" w:rsidRDefault="00F0427E" w:rsidP="00F0427E">
      <w:pPr>
        <w:rPr>
          <w:bCs/>
        </w:rPr>
      </w:pPr>
    </w:p>
    <w:p w:rsidR="00F0427E" w:rsidRPr="003A670A" w:rsidRDefault="00F0427E" w:rsidP="00B8050D">
      <w:pPr>
        <w:pStyle w:val="ListParagraph"/>
        <w:numPr>
          <w:ilvl w:val="0"/>
          <w:numId w:val="3"/>
        </w:numPr>
        <w:ind w:hanging="720"/>
        <w:rPr>
          <w:bCs/>
          <w:sz w:val="24"/>
        </w:rPr>
      </w:pPr>
      <w:r w:rsidRPr="003A670A">
        <w:rPr>
          <w:bCs/>
          <w:sz w:val="24"/>
        </w:rPr>
        <w:t>The Department of Health continues to work with a range of partners to increase uptake of vaccination. These interventions include:</w:t>
      </w:r>
    </w:p>
    <w:p w:rsidR="00F0427E" w:rsidRPr="003A670A" w:rsidRDefault="00F0427E" w:rsidP="00F0427E">
      <w:pPr>
        <w:rPr>
          <w:bCs/>
        </w:rPr>
      </w:pP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Continuing to provide consistent messaging around the importance of vaccination through a multiple media channels.</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Ensuring effective liaison and collaboration for COVID -19 vaccination with community leaders and key stakeholders at ward-level </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Strengthening platforms for participatory community dialogues, events, and activations </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Improving community engagement and mobilisation for COVID-19 vaccination through the use of trained vaccinated Social Mobilisers </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Providing technical assistance for localised communications that support COVID-19 vaccination mobilisation activities </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Improving site marketing and build sustainable vaccine trust </w:t>
      </w:r>
      <w:r w:rsidRPr="003A670A">
        <w:t xml:space="preserve">by advertising </w:t>
      </w:r>
      <w:r w:rsidRPr="003A670A">
        <w:rPr>
          <w:rFonts w:eastAsia="Calibri"/>
          <w:color w:val="000000"/>
        </w:rPr>
        <w:t>vaccination sites and using Social Mobilisers</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Strengthening social mobilisation results-based management using Electronic Vaccination Data System (EVDS) and Geolocation Information System (GIS) generated data </w:t>
      </w:r>
    </w:p>
    <w:p w:rsidR="00F0427E" w:rsidRPr="003A670A" w:rsidRDefault="00F0427E" w:rsidP="00B8050D">
      <w:pPr>
        <w:numPr>
          <w:ilvl w:val="0"/>
          <w:numId w:val="2"/>
        </w:numPr>
        <w:pBdr>
          <w:top w:val="nil"/>
          <w:left w:val="nil"/>
          <w:bottom w:val="nil"/>
          <w:right w:val="nil"/>
          <w:between w:val="nil"/>
        </w:pBdr>
        <w:spacing w:after="240"/>
        <w:ind w:left="1440" w:hanging="720"/>
        <w:jc w:val="both"/>
        <w:rPr>
          <w:rFonts w:eastAsia="Calibri"/>
          <w:color w:val="000000"/>
        </w:rPr>
      </w:pPr>
      <w:r w:rsidRPr="003A670A">
        <w:rPr>
          <w:rFonts w:eastAsia="Calibri"/>
          <w:color w:val="000000"/>
        </w:rPr>
        <w:t xml:space="preserve">Strengthening demand acceleration amongst vulnerable and hard to reach populations such as youth, undocumented persons and People Living with HIV </w:t>
      </w:r>
      <w:proofErr w:type="spellStart"/>
      <w:r w:rsidRPr="003A670A">
        <w:rPr>
          <w:rFonts w:eastAsia="Calibri"/>
          <w:color w:val="000000"/>
        </w:rPr>
        <w:t>thorugh</w:t>
      </w:r>
      <w:proofErr w:type="spellEnd"/>
      <w:r w:rsidRPr="003A670A">
        <w:rPr>
          <w:rFonts w:eastAsia="Calibri"/>
          <w:color w:val="000000"/>
        </w:rPr>
        <w:t xml:space="preserve"> community engagement strategies</w:t>
      </w:r>
    </w:p>
    <w:p w:rsidR="00F0427E" w:rsidRPr="003A670A" w:rsidRDefault="00F0427E" w:rsidP="00F0427E">
      <w:pPr>
        <w:jc w:val="both"/>
        <w:rPr>
          <w:bCs/>
        </w:rPr>
      </w:pPr>
    </w:p>
    <w:p w:rsidR="00F0427E" w:rsidRDefault="00F0427E" w:rsidP="00F0427E">
      <w:pPr>
        <w:pStyle w:val="EndnoteText"/>
        <w:ind w:left="709" w:hanging="709"/>
        <w:rPr>
          <w:rFonts w:ascii="Arial" w:hAnsi="Arial" w:cs="Arial"/>
          <w:bCs/>
          <w:sz w:val="24"/>
          <w:szCs w:val="24"/>
        </w:rPr>
      </w:pPr>
      <w:r>
        <w:rPr>
          <w:rFonts w:ascii="Arial" w:hAnsi="Arial" w:cs="Arial"/>
          <w:bCs/>
          <w:sz w:val="24"/>
          <w:szCs w:val="24"/>
        </w:rPr>
        <w:t>(b)</w:t>
      </w:r>
      <w:r>
        <w:rPr>
          <w:rFonts w:ascii="Arial" w:hAnsi="Arial" w:cs="Arial"/>
          <w:bCs/>
          <w:sz w:val="24"/>
          <w:szCs w:val="24"/>
        </w:rPr>
        <w:tab/>
      </w:r>
      <w:r w:rsidRPr="003A670A">
        <w:rPr>
          <w:rFonts w:ascii="Arial" w:hAnsi="Arial" w:cs="Arial"/>
          <w:bCs/>
          <w:sz w:val="24"/>
          <w:szCs w:val="24"/>
        </w:rPr>
        <w:t>The National Department of Health is exploring opportunities for donating excess vaccines to other countries. If this is not possible, then excess vaccines that have reached their expiry date will be discarded.</w:t>
      </w:r>
    </w:p>
    <w:p w:rsidR="00F0427E" w:rsidRDefault="00F0427E" w:rsidP="00F0427E">
      <w:pPr>
        <w:pStyle w:val="EndnoteText"/>
        <w:rPr>
          <w:rFonts w:ascii="Arial" w:hAnsi="Arial" w:cs="Arial"/>
          <w:bCs/>
          <w:sz w:val="24"/>
          <w:szCs w:val="24"/>
        </w:rPr>
      </w:pPr>
    </w:p>
    <w:p w:rsidR="00F0427E" w:rsidRDefault="00F0427E" w:rsidP="00F0427E">
      <w:pPr>
        <w:pStyle w:val="EndnoteText"/>
        <w:rPr>
          <w:rFonts w:ascii="Arial" w:hAnsi="Arial" w:cs="Arial"/>
          <w:bCs/>
          <w:sz w:val="24"/>
          <w:szCs w:val="24"/>
        </w:rPr>
      </w:pPr>
    </w:p>
    <w:p w:rsidR="00F0427E" w:rsidRDefault="00F0427E" w:rsidP="00F0427E">
      <w:pPr>
        <w:pStyle w:val="EndnoteText"/>
        <w:rPr>
          <w:sz w:val="24"/>
          <w:szCs w:val="24"/>
        </w:rPr>
      </w:pPr>
      <w:r>
        <w:rPr>
          <w:rFonts w:ascii="Arial" w:hAnsi="Arial" w:cs="Arial"/>
          <w:bCs/>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1338</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b/>
          <w:u w:val="single"/>
        </w:rPr>
      </w:pPr>
      <w:r w:rsidRPr="00D234AF">
        <w:rPr>
          <w:b/>
          <w:u w:val="single"/>
        </w:rPr>
        <w:t xml:space="preserve">Ms N </w:t>
      </w:r>
      <w:proofErr w:type="spellStart"/>
      <w:r w:rsidRPr="00D234AF">
        <w:rPr>
          <w:b/>
          <w:u w:val="single"/>
        </w:rPr>
        <w:t>N</w:t>
      </w:r>
      <w:proofErr w:type="spellEnd"/>
      <w:r w:rsidRPr="00D234AF">
        <w:rPr>
          <w:b/>
          <w:u w:val="single"/>
        </w:rPr>
        <w:t xml:space="preserve"> </w:t>
      </w:r>
      <w:proofErr w:type="spellStart"/>
      <w:r w:rsidRPr="00D234AF">
        <w:rPr>
          <w:b/>
          <w:u w:val="single"/>
        </w:rPr>
        <w:t>Chirwa</w:t>
      </w:r>
      <w:proofErr w:type="spellEnd"/>
      <w:r w:rsidRPr="00D234AF">
        <w:rPr>
          <w:b/>
          <w:u w:val="single"/>
        </w:rPr>
        <w:t xml:space="preserve"> (EFF) to </w:t>
      </w:r>
      <w:r w:rsidRPr="00D234AF">
        <w:rPr>
          <w:b/>
          <w:u w:val="single"/>
          <w:lang w:val="en-US"/>
        </w:rPr>
        <w:t>ask</w:t>
      </w:r>
      <w:r w:rsidRPr="00D234AF">
        <w:rPr>
          <w:b/>
          <w:u w:val="single"/>
        </w:rPr>
        <w:t xml:space="preserve"> the Minister of Health</w:t>
      </w:r>
      <w:r w:rsidR="00AA2E7D" w:rsidRPr="00D234AF">
        <w:rPr>
          <w:b/>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u w:val="single"/>
        </w:rPr>
        <w:fldChar w:fldCharType="end"/>
      </w:r>
      <w:r w:rsidRPr="00D234AF">
        <w:rPr>
          <w:b/>
          <w:u w:val="single"/>
        </w:rPr>
        <w:t>:</w:t>
      </w:r>
      <w:r>
        <w:rPr>
          <w:b/>
          <w:u w:val="single"/>
        </w:rPr>
        <w:t xml:space="preserve"> </w:t>
      </w:r>
    </w:p>
    <w:p w:rsidR="00F0427E" w:rsidRPr="00CE11BB" w:rsidRDefault="00F0427E" w:rsidP="00F0427E">
      <w:pPr>
        <w:spacing w:before="240"/>
        <w:ind w:right="26" w:firstLine="11"/>
        <w:jc w:val="both"/>
        <w:rPr>
          <w:sz w:val="20"/>
          <w:szCs w:val="20"/>
        </w:rPr>
      </w:pPr>
      <w:r w:rsidRPr="00D234AF">
        <w:rPr>
          <w:color w:val="000000"/>
        </w:rPr>
        <w:t xml:space="preserve">Noting the </w:t>
      </w:r>
      <w:r w:rsidRPr="00D234AF">
        <w:t>remarks</w:t>
      </w:r>
      <w:r w:rsidRPr="00D234AF">
        <w:rPr>
          <w:color w:val="000000"/>
        </w:rPr>
        <w:t xml:space="preserve"> by the Auditor-General that the administration of the Eastern Cape Department of </w:t>
      </w:r>
      <w:r w:rsidRPr="00D234AF">
        <w:t>Health</w:t>
      </w:r>
      <w:r w:rsidRPr="00D234AF">
        <w:rPr>
          <w:color w:val="000000"/>
        </w:rPr>
        <w:t xml:space="preserve"> is in crisis, what intervention measures has he put in place to resolve the specified </w:t>
      </w:r>
      <w:r w:rsidRPr="00D234AF">
        <w:t>crisis</w:t>
      </w:r>
      <w:r w:rsidRPr="00D234AF">
        <w:rPr>
          <w:color w:val="000000"/>
        </w:rPr>
        <w:t xml:space="preserve"> in the specified province</w:t>
      </w:r>
      <w:r w:rsidRPr="00D234AF">
        <w:t>?</w:t>
      </w:r>
      <w:r w:rsidRPr="00765B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CE11BB">
        <w:rPr>
          <w:sz w:val="20"/>
          <w:szCs w:val="20"/>
        </w:rPr>
        <w:t>NW1476E</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Pr="00D234AF" w:rsidRDefault="00F0427E" w:rsidP="00F0427E">
      <w:pPr>
        <w:pStyle w:val="EndnoteText"/>
        <w:rPr>
          <w:rFonts w:ascii="Arial" w:hAnsi="Arial" w:cs="Arial"/>
          <w:b/>
          <w:sz w:val="24"/>
          <w:szCs w:val="24"/>
          <w:u w:val="single"/>
        </w:rPr>
      </w:pPr>
      <w:r w:rsidRPr="00D234AF">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The National Department of Health still awaits the relevant details on the intervention measures to enable the Minister to respond to the question. As soon as the relevant information is received from the province, the Minister will be able to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Pr="00CE11BB" w:rsidRDefault="00F0427E" w:rsidP="00F0427E">
      <w:pPr>
        <w:pStyle w:val="EndnoteText"/>
        <w:jc w:val="both"/>
        <w:rPr>
          <w:rFonts w:ascii="Arial" w:hAnsi="Arial" w:cs="Arial"/>
          <w:sz w:val="24"/>
          <w:szCs w:val="24"/>
        </w:rPr>
      </w:pPr>
      <w:r>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1365</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b/>
          <w:u w:val="single"/>
        </w:rPr>
      </w:pPr>
      <w:r w:rsidRPr="00D234AF">
        <w:rPr>
          <w:b/>
          <w:u w:val="single"/>
        </w:rPr>
        <w:t xml:space="preserve">Mr T M </w:t>
      </w:r>
      <w:proofErr w:type="spellStart"/>
      <w:r w:rsidRPr="00D234AF">
        <w:rPr>
          <w:b/>
          <w:u w:val="single"/>
        </w:rPr>
        <w:t>Langa</w:t>
      </w:r>
      <w:proofErr w:type="spellEnd"/>
      <w:r w:rsidRPr="00D234AF">
        <w:rPr>
          <w:b/>
          <w:u w:val="single"/>
        </w:rPr>
        <w:t xml:space="preserve"> (EFF) to ask the Minister of Health</w:t>
      </w:r>
      <w:r w:rsidR="00AA2E7D" w:rsidRPr="00D234AF">
        <w:rPr>
          <w:b/>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u w:val="single"/>
        </w:rPr>
        <w:fldChar w:fldCharType="end"/>
      </w:r>
      <w:r w:rsidRPr="00D234AF">
        <w:rPr>
          <w:b/>
          <w:u w:val="single"/>
        </w:rPr>
        <w:t xml:space="preserve">: </w:t>
      </w:r>
    </w:p>
    <w:p w:rsidR="00F0427E" w:rsidRPr="0011153F" w:rsidRDefault="00F0427E" w:rsidP="00F0427E">
      <w:pPr>
        <w:spacing w:before="240"/>
        <w:ind w:right="26" w:firstLine="11"/>
        <w:jc w:val="both"/>
        <w:rPr>
          <w:sz w:val="20"/>
          <w:szCs w:val="20"/>
        </w:rPr>
      </w:pPr>
      <w:r w:rsidRPr="00D234AF">
        <w:t xml:space="preserve">What steps have been taken by his department to ensure that service providers in hospitals, such as the </w:t>
      </w:r>
      <w:proofErr w:type="spellStart"/>
      <w:r w:rsidRPr="00D234AF">
        <w:t>Ngwelezana</w:t>
      </w:r>
      <w:proofErr w:type="spellEnd"/>
      <w:r w:rsidRPr="00D234AF">
        <w:t xml:space="preserve"> Hospital in KwaZulu-Natal, comply with the minimum wage labour legislation and that workers are not abused?</w:t>
      </w:r>
      <w:r w:rsidRPr="00727AC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11153F">
        <w:rPr>
          <w:sz w:val="20"/>
          <w:szCs w:val="20"/>
        </w:rPr>
        <w:t>NW1655E</w:t>
      </w:r>
    </w:p>
    <w:p w:rsidR="00F0427E" w:rsidRDefault="00F0427E" w:rsidP="00F0427E">
      <w:pPr>
        <w:pStyle w:val="EndnoteText"/>
        <w:rPr>
          <w:sz w:val="24"/>
          <w:szCs w:val="24"/>
        </w:rPr>
      </w:pPr>
    </w:p>
    <w:p w:rsidR="00F0427E" w:rsidRPr="00D234AF" w:rsidRDefault="00F0427E" w:rsidP="00F0427E">
      <w:pPr>
        <w:pStyle w:val="EndnoteText"/>
        <w:rPr>
          <w:rFonts w:ascii="Arial" w:hAnsi="Arial" w:cs="Arial"/>
          <w:b/>
          <w:sz w:val="24"/>
          <w:szCs w:val="24"/>
          <w:u w:val="single"/>
        </w:rPr>
      </w:pPr>
      <w:r w:rsidRPr="00D234AF">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 xml:space="preserve">The National Department of is still consulting with the </w:t>
      </w:r>
      <w:proofErr w:type="spellStart"/>
      <w:r>
        <w:rPr>
          <w:rFonts w:ascii="Arial" w:hAnsi="Arial" w:cs="Arial"/>
          <w:sz w:val="24"/>
          <w:szCs w:val="24"/>
        </w:rPr>
        <w:t>KwaZulu</w:t>
      </w:r>
      <w:proofErr w:type="spellEnd"/>
      <w:r>
        <w:rPr>
          <w:rFonts w:ascii="Arial" w:hAnsi="Arial" w:cs="Arial"/>
          <w:sz w:val="24"/>
          <w:szCs w:val="24"/>
        </w:rPr>
        <w:t xml:space="preserve"> Natal Provincial Department of Health to source the requested information. As soon as the information has been received from the Province, the Minister will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Pr="00886823" w:rsidRDefault="00F0427E" w:rsidP="00F0427E">
      <w:pPr>
        <w:pStyle w:val="EndnoteText"/>
        <w:jc w:val="both"/>
        <w:rPr>
          <w:rFonts w:ascii="Arial" w:hAnsi="Arial" w:cs="Arial"/>
          <w:sz w:val="24"/>
          <w:szCs w:val="24"/>
        </w:rPr>
      </w:pPr>
      <w:r>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1389</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b/>
          <w:bCs/>
          <w:u w:val="single"/>
        </w:rPr>
      </w:pPr>
      <w:r w:rsidRPr="00D234AF">
        <w:rPr>
          <w:b/>
          <w:bCs/>
          <w:u w:val="single"/>
        </w:rPr>
        <w:t xml:space="preserve">Dr S </w:t>
      </w:r>
      <w:proofErr w:type="spellStart"/>
      <w:r w:rsidRPr="00D234AF">
        <w:rPr>
          <w:b/>
          <w:bCs/>
          <w:u w:val="single"/>
        </w:rPr>
        <w:t>S</w:t>
      </w:r>
      <w:proofErr w:type="spellEnd"/>
      <w:r w:rsidRPr="00D234AF">
        <w:rPr>
          <w:b/>
          <w:bCs/>
          <w:u w:val="single"/>
        </w:rPr>
        <w:t xml:space="preserve"> </w:t>
      </w:r>
      <w:proofErr w:type="spellStart"/>
      <w:r w:rsidRPr="00D234AF">
        <w:rPr>
          <w:b/>
          <w:bCs/>
          <w:u w:val="single"/>
        </w:rPr>
        <w:t>Thembekwayo</w:t>
      </w:r>
      <w:proofErr w:type="spellEnd"/>
      <w:r w:rsidRPr="00D234AF">
        <w:rPr>
          <w:b/>
          <w:bCs/>
          <w:u w:val="single"/>
        </w:rPr>
        <w:t xml:space="preserve"> (EFF) to ask the Minister of Health</w:t>
      </w:r>
      <w:r w:rsidR="00AA2E7D" w:rsidRPr="00D234AF">
        <w:rPr>
          <w:b/>
          <w:bCs/>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bCs/>
          <w:u w:val="single"/>
        </w:rPr>
        <w:fldChar w:fldCharType="end"/>
      </w:r>
      <w:r w:rsidRPr="00D234AF">
        <w:rPr>
          <w:b/>
          <w:bCs/>
          <w:u w:val="single"/>
        </w:rPr>
        <w:t xml:space="preserve">: </w:t>
      </w:r>
    </w:p>
    <w:p w:rsidR="00F0427E" w:rsidRDefault="00F0427E" w:rsidP="00F0427E">
      <w:pPr>
        <w:spacing w:before="240"/>
        <w:ind w:right="26" w:firstLine="11"/>
        <w:jc w:val="both"/>
        <w:rPr>
          <w:rFonts w:ascii="Times New Roman" w:hAnsi="Times New Roman" w:cs="Times New Roman"/>
          <w:color w:val="222222"/>
          <w:sz w:val="20"/>
          <w:szCs w:val="20"/>
          <w:lang w:eastAsia="en-ZA"/>
        </w:rPr>
      </w:pPr>
      <w:r w:rsidRPr="00D234AF">
        <w:t>In light of the negative impact of COVID-19 and budgetary constraints, what steps have been taken by his department to assist the Office of the Health Standard Compliance to fill some of its critical vacancies?</w:t>
      </w:r>
      <w:r w:rsidRPr="00D234AF">
        <w:tab/>
      </w:r>
      <w:r w:rsidRPr="00727AC6">
        <w:rPr>
          <w:rFonts w:ascii="Times New Roman" w:hAnsi="Times New Roman" w:cs="Times New Roman"/>
        </w:rPr>
        <w:tab/>
      </w:r>
      <w:r w:rsidRPr="00727AC6">
        <w:rPr>
          <w:rFonts w:ascii="Times New Roman" w:hAnsi="Times New Roman" w:cs="Times New Roman"/>
        </w:rPr>
        <w:tab/>
      </w:r>
      <w:r w:rsidRPr="00727AC6">
        <w:rPr>
          <w:rFonts w:ascii="Times New Roman" w:hAnsi="Times New Roman" w:cs="Times New Roman"/>
          <w:color w:val="222222"/>
          <w:lang w:eastAsia="en-ZA"/>
        </w:rPr>
        <w:tab/>
      </w:r>
      <w:r>
        <w:rPr>
          <w:rFonts w:ascii="Times New Roman" w:hAnsi="Times New Roman" w:cs="Times New Roman"/>
          <w:color w:val="222222"/>
          <w:lang w:eastAsia="en-ZA"/>
        </w:rPr>
        <w:tab/>
      </w:r>
      <w:r>
        <w:rPr>
          <w:rFonts w:ascii="Times New Roman" w:hAnsi="Times New Roman" w:cs="Times New Roman"/>
          <w:color w:val="222222"/>
          <w:lang w:eastAsia="en-ZA"/>
        </w:rPr>
        <w:tab/>
      </w:r>
      <w:r>
        <w:rPr>
          <w:rFonts w:ascii="Times New Roman" w:hAnsi="Times New Roman" w:cs="Times New Roman"/>
          <w:color w:val="222222"/>
          <w:lang w:eastAsia="en-ZA"/>
        </w:rPr>
        <w:tab/>
      </w:r>
      <w:r>
        <w:rPr>
          <w:rFonts w:ascii="Times New Roman" w:hAnsi="Times New Roman" w:cs="Times New Roman"/>
          <w:color w:val="222222"/>
          <w:lang w:eastAsia="en-ZA"/>
        </w:rPr>
        <w:tab/>
      </w:r>
      <w:r>
        <w:rPr>
          <w:rFonts w:ascii="Times New Roman" w:hAnsi="Times New Roman" w:cs="Times New Roman"/>
          <w:color w:val="222222"/>
          <w:lang w:eastAsia="en-ZA"/>
        </w:rPr>
        <w:tab/>
        <w:t xml:space="preserve">         </w:t>
      </w:r>
      <w:r w:rsidRPr="003B67D0">
        <w:rPr>
          <w:rFonts w:ascii="Times New Roman" w:hAnsi="Times New Roman" w:cs="Times New Roman"/>
          <w:color w:val="222222"/>
          <w:sz w:val="20"/>
          <w:szCs w:val="20"/>
          <w:lang w:eastAsia="en-ZA"/>
        </w:rPr>
        <w:t>NW1681E</w:t>
      </w:r>
    </w:p>
    <w:p w:rsidR="00F0427E" w:rsidRDefault="00F0427E" w:rsidP="00F0427E">
      <w:pPr>
        <w:pStyle w:val="EndnoteText"/>
        <w:rPr>
          <w:sz w:val="24"/>
          <w:szCs w:val="24"/>
        </w:rPr>
      </w:pPr>
    </w:p>
    <w:p w:rsidR="00F0427E" w:rsidRPr="00D234AF" w:rsidRDefault="00F0427E" w:rsidP="00F0427E">
      <w:pPr>
        <w:pStyle w:val="EndnoteText"/>
        <w:rPr>
          <w:rFonts w:ascii="Arial" w:hAnsi="Arial" w:cs="Arial"/>
          <w:b/>
          <w:sz w:val="24"/>
          <w:szCs w:val="24"/>
          <w:u w:val="single"/>
        </w:rPr>
      </w:pPr>
      <w:r w:rsidRPr="00D234AF">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spacing w:after="160" w:line="259" w:lineRule="auto"/>
        <w:jc w:val="both"/>
        <w:rPr>
          <w:rFonts w:eastAsia="Calibri"/>
        </w:rPr>
      </w:pPr>
      <w:r>
        <w:rPr>
          <w:rFonts w:eastAsia="Calibri"/>
        </w:rPr>
        <w:t xml:space="preserve">The department is responsible to make transfer payments to the Office of Health Standards Compliance (OHSC) as allocated from the national </w:t>
      </w:r>
      <w:proofErr w:type="spellStart"/>
      <w:r>
        <w:rPr>
          <w:rFonts w:eastAsia="Calibri"/>
        </w:rPr>
        <w:t>fiscus</w:t>
      </w:r>
      <w:proofErr w:type="spellEnd"/>
      <w:r>
        <w:rPr>
          <w:rFonts w:eastAsia="Calibri"/>
        </w:rPr>
        <w:t xml:space="preserve"> for the entity to conduct its operations in accordance with its legislative mandate. Requests for additional funds for the entity’s operations including compensation of employees would be made to the National Treasury by the entity with support from the department following due process (budget process).  </w:t>
      </w:r>
    </w:p>
    <w:p w:rsidR="00F0427E" w:rsidRDefault="00F0427E" w:rsidP="00F0427E">
      <w:pPr>
        <w:spacing w:after="160" w:line="259" w:lineRule="auto"/>
        <w:jc w:val="both"/>
        <w:rPr>
          <w:rFonts w:eastAsia="Calibri"/>
        </w:rPr>
      </w:pPr>
      <w:r>
        <w:rPr>
          <w:rFonts w:eastAsia="Calibri"/>
        </w:rPr>
        <w:t xml:space="preserve">The department supported the OHSC’s application to the National Treasury to retain accumulated surplus for the 2020/21 financial year considering the negative impact of COVID-19 and budgetary constraints to fund the following objectives as identified by the entity: </w:t>
      </w:r>
    </w:p>
    <w:p w:rsidR="00F0427E" w:rsidRPr="0094307A" w:rsidRDefault="00F0427E" w:rsidP="00B8050D">
      <w:pPr>
        <w:numPr>
          <w:ilvl w:val="0"/>
          <w:numId w:val="1"/>
        </w:numPr>
        <w:spacing w:after="240"/>
        <w:ind w:left="714" w:hanging="357"/>
        <w:jc w:val="both"/>
        <w:rPr>
          <w:color w:val="000000"/>
        </w:rPr>
      </w:pPr>
      <w:r w:rsidRPr="0094307A">
        <w:rPr>
          <w:color w:val="000000"/>
        </w:rPr>
        <w:t>Supplementing human resource capacity in</w:t>
      </w:r>
      <w:r>
        <w:rPr>
          <w:color w:val="000000"/>
        </w:rPr>
        <w:t xml:space="preserve"> the</w:t>
      </w:r>
      <w:r w:rsidRPr="0094307A">
        <w:rPr>
          <w:color w:val="000000"/>
        </w:rPr>
        <w:t xml:space="preserve"> </w:t>
      </w:r>
      <w:r>
        <w:rPr>
          <w:color w:val="000000"/>
        </w:rPr>
        <w:t>C</w:t>
      </w:r>
      <w:r w:rsidRPr="0094307A">
        <w:rPr>
          <w:color w:val="000000"/>
        </w:rPr>
        <w:t xml:space="preserve">omplaints </w:t>
      </w:r>
      <w:r>
        <w:rPr>
          <w:color w:val="000000"/>
        </w:rPr>
        <w:t>M</w:t>
      </w:r>
      <w:r w:rsidRPr="0094307A">
        <w:rPr>
          <w:color w:val="000000"/>
        </w:rPr>
        <w:t>anagement</w:t>
      </w:r>
      <w:r>
        <w:rPr>
          <w:color w:val="000000"/>
        </w:rPr>
        <w:t xml:space="preserve"> Unit</w:t>
      </w:r>
      <w:r w:rsidRPr="0094307A">
        <w:rPr>
          <w:color w:val="000000"/>
        </w:rPr>
        <w:t xml:space="preserve">, </w:t>
      </w:r>
      <w:r>
        <w:rPr>
          <w:color w:val="000000"/>
        </w:rPr>
        <w:t>Certification and Enforcement Unit</w:t>
      </w:r>
      <w:r w:rsidRPr="0094307A">
        <w:rPr>
          <w:color w:val="000000"/>
        </w:rPr>
        <w:t xml:space="preserve">, </w:t>
      </w:r>
      <w:r>
        <w:rPr>
          <w:color w:val="000000"/>
        </w:rPr>
        <w:t>and L</w:t>
      </w:r>
      <w:r w:rsidRPr="0094307A">
        <w:rPr>
          <w:color w:val="000000"/>
        </w:rPr>
        <w:t xml:space="preserve">egal </w:t>
      </w:r>
      <w:r>
        <w:rPr>
          <w:color w:val="000000"/>
        </w:rPr>
        <w:t>S</w:t>
      </w:r>
      <w:r w:rsidRPr="0094307A">
        <w:rPr>
          <w:color w:val="000000"/>
        </w:rPr>
        <w:t>ervice</w:t>
      </w:r>
      <w:r>
        <w:rPr>
          <w:color w:val="000000"/>
        </w:rPr>
        <w:t xml:space="preserve"> Unit;</w:t>
      </w:r>
      <w:r w:rsidRPr="0094307A">
        <w:rPr>
          <w:color w:val="000000"/>
        </w:rPr>
        <w:t> </w:t>
      </w:r>
    </w:p>
    <w:p w:rsidR="00F0427E" w:rsidRPr="0094307A" w:rsidRDefault="00F0427E" w:rsidP="00B8050D">
      <w:pPr>
        <w:numPr>
          <w:ilvl w:val="0"/>
          <w:numId w:val="1"/>
        </w:numPr>
        <w:spacing w:after="240"/>
        <w:ind w:left="714" w:hanging="357"/>
        <w:jc w:val="both"/>
        <w:rPr>
          <w:color w:val="000000"/>
        </w:rPr>
      </w:pPr>
      <w:r w:rsidRPr="0094307A">
        <w:rPr>
          <w:color w:val="000000"/>
        </w:rPr>
        <w:t>Additional budget for inspections and re-inspections, and certification and enforcement</w:t>
      </w:r>
      <w:r>
        <w:rPr>
          <w:color w:val="000000"/>
        </w:rPr>
        <w:t>;</w:t>
      </w:r>
      <w:r w:rsidRPr="0094307A">
        <w:rPr>
          <w:color w:val="000000"/>
        </w:rPr>
        <w:t> </w:t>
      </w:r>
    </w:p>
    <w:p w:rsidR="00F0427E" w:rsidRPr="0094307A" w:rsidRDefault="00F0427E" w:rsidP="00B8050D">
      <w:pPr>
        <w:numPr>
          <w:ilvl w:val="0"/>
          <w:numId w:val="1"/>
        </w:numPr>
        <w:spacing w:after="240"/>
        <w:ind w:left="714" w:hanging="357"/>
        <w:jc w:val="both"/>
        <w:rPr>
          <w:color w:val="000000"/>
        </w:rPr>
      </w:pPr>
      <w:r w:rsidRPr="0094307A">
        <w:rPr>
          <w:color w:val="000000"/>
        </w:rPr>
        <w:t>Replacement of old computer equipment/tools of trade (recapitalization)</w:t>
      </w:r>
      <w:r>
        <w:rPr>
          <w:color w:val="000000"/>
        </w:rPr>
        <w:t>; and</w:t>
      </w:r>
      <w:r w:rsidRPr="0094307A">
        <w:rPr>
          <w:color w:val="000000"/>
        </w:rPr>
        <w:t> </w:t>
      </w:r>
    </w:p>
    <w:p w:rsidR="00F0427E" w:rsidRPr="0094307A" w:rsidRDefault="00F0427E" w:rsidP="00B8050D">
      <w:pPr>
        <w:numPr>
          <w:ilvl w:val="0"/>
          <w:numId w:val="1"/>
        </w:numPr>
        <w:spacing w:after="240"/>
        <w:ind w:left="714" w:hanging="357"/>
        <w:jc w:val="both"/>
        <w:rPr>
          <w:color w:val="000000"/>
        </w:rPr>
      </w:pPr>
      <w:r w:rsidRPr="0094307A">
        <w:rPr>
          <w:color w:val="000000"/>
        </w:rPr>
        <w:t>Development and/or enhancement of core systems – inspection, early warning system, certification, and enforcement</w:t>
      </w:r>
      <w:r>
        <w:rPr>
          <w:color w:val="000000"/>
        </w:rPr>
        <w:t xml:space="preserve">. </w:t>
      </w:r>
      <w:r w:rsidRPr="0094307A">
        <w:rPr>
          <w:color w:val="000000"/>
        </w:rPr>
        <w:t> </w:t>
      </w:r>
    </w:p>
    <w:p w:rsidR="00F0427E" w:rsidRDefault="00F0427E" w:rsidP="00F0427E">
      <w:pPr>
        <w:spacing w:after="160" w:line="259" w:lineRule="auto"/>
        <w:jc w:val="both"/>
        <w:rPr>
          <w:color w:val="000000"/>
        </w:rPr>
      </w:pPr>
      <w:r>
        <w:rPr>
          <w:rFonts w:eastAsia="Calibri"/>
        </w:rPr>
        <w:t xml:space="preserve">In addition, the Department during the 2020 MTEF process ensured that the OHSC’s budget was not reduced. </w:t>
      </w:r>
      <w:r w:rsidRPr="00705C25">
        <w:rPr>
          <w:color w:val="000000"/>
        </w:rPr>
        <w:t>N</w:t>
      </w:r>
      <w:r>
        <w:rPr>
          <w:color w:val="000000"/>
        </w:rPr>
        <w:t xml:space="preserve">ational </w:t>
      </w:r>
      <w:r w:rsidRPr="00705C25">
        <w:rPr>
          <w:color w:val="000000"/>
        </w:rPr>
        <w:t>T</w:t>
      </w:r>
      <w:r>
        <w:rPr>
          <w:color w:val="000000"/>
        </w:rPr>
        <w:t>reasury had</w:t>
      </w:r>
      <w:r w:rsidRPr="00705C25">
        <w:rPr>
          <w:color w:val="000000"/>
        </w:rPr>
        <w:t xml:space="preserve"> proposed</w:t>
      </w:r>
      <w:r>
        <w:rPr>
          <w:color w:val="000000"/>
        </w:rPr>
        <w:t xml:space="preserve"> a</w:t>
      </w:r>
      <w:r w:rsidRPr="00705C25">
        <w:rPr>
          <w:color w:val="000000"/>
        </w:rPr>
        <w:t xml:space="preserve"> reduction of 5.7% in 2021/22</w:t>
      </w:r>
      <w:r>
        <w:rPr>
          <w:color w:val="000000"/>
        </w:rPr>
        <w:t xml:space="preserve"> and </w:t>
      </w:r>
      <w:r w:rsidRPr="00705C25">
        <w:rPr>
          <w:color w:val="000000"/>
        </w:rPr>
        <w:t xml:space="preserve">8.5% in 2022/23 as a result of </w:t>
      </w:r>
      <w:r>
        <w:rPr>
          <w:color w:val="000000"/>
        </w:rPr>
        <w:t xml:space="preserve">the </w:t>
      </w:r>
      <w:r w:rsidRPr="00705C25">
        <w:rPr>
          <w:color w:val="000000"/>
        </w:rPr>
        <w:t xml:space="preserve">tight fiscal envelope. </w:t>
      </w:r>
    </w:p>
    <w:p w:rsidR="00F0427E" w:rsidRDefault="00F0427E" w:rsidP="00F0427E">
      <w:pPr>
        <w:pStyle w:val="EndnoteText"/>
        <w:rPr>
          <w:sz w:val="24"/>
          <w:szCs w:val="24"/>
        </w:rPr>
      </w:pPr>
    </w:p>
    <w:p w:rsidR="00F0427E" w:rsidRPr="005E6FA2" w:rsidRDefault="00F0427E" w:rsidP="00F0427E">
      <w:pPr>
        <w:pStyle w:val="EndnoteText"/>
        <w:rPr>
          <w:rFonts w:ascii="Arial" w:hAnsi="Arial" w:cs="Arial"/>
          <w:sz w:val="24"/>
          <w:szCs w:val="24"/>
        </w:rPr>
      </w:pPr>
      <w:r w:rsidRPr="005E6FA2">
        <w:rPr>
          <w:rFonts w:ascii="Arial" w:hAnsi="Arial" w:cs="Arial"/>
          <w:sz w:val="24"/>
          <w:szCs w:val="24"/>
        </w:rPr>
        <w:t>END.</w:t>
      </w:r>
    </w:p>
    <w:p w:rsidR="00F0427E" w:rsidRPr="005E6FA2" w:rsidRDefault="00F0427E" w:rsidP="00F0427E">
      <w:pPr>
        <w:pStyle w:val="EndnoteText"/>
        <w:rPr>
          <w:rFonts w:ascii="Arial" w:hAnsi="Arial" w:cs="Arial"/>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1391</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b/>
          <w:bCs/>
          <w:u w:val="single"/>
        </w:rPr>
      </w:pPr>
      <w:r w:rsidRPr="00D234AF">
        <w:rPr>
          <w:b/>
          <w:bCs/>
          <w:u w:val="single"/>
        </w:rPr>
        <w:t xml:space="preserve">Dr S </w:t>
      </w:r>
      <w:proofErr w:type="spellStart"/>
      <w:r w:rsidRPr="00D234AF">
        <w:rPr>
          <w:b/>
          <w:bCs/>
          <w:u w:val="single"/>
        </w:rPr>
        <w:t>S</w:t>
      </w:r>
      <w:proofErr w:type="spellEnd"/>
      <w:r w:rsidRPr="00D234AF">
        <w:rPr>
          <w:b/>
          <w:bCs/>
          <w:u w:val="single"/>
        </w:rPr>
        <w:t xml:space="preserve"> </w:t>
      </w:r>
      <w:proofErr w:type="spellStart"/>
      <w:r w:rsidRPr="00D234AF">
        <w:rPr>
          <w:b/>
          <w:bCs/>
          <w:u w:val="single"/>
        </w:rPr>
        <w:t>Thembekwayo</w:t>
      </w:r>
      <w:proofErr w:type="spellEnd"/>
      <w:r w:rsidRPr="00D234AF">
        <w:rPr>
          <w:b/>
          <w:bCs/>
          <w:u w:val="single"/>
        </w:rPr>
        <w:t xml:space="preserve"> (EFF) to </w:t>
      </w:r>
      <w:r w:rsidRPr="00D234AF">
        <w:rPr>
          <w:b/>
          <w:u w:val="single"/>
        </w:rPr>
        <w:t>ask</w:t>
      </w:r>
      <w:r w:rsidRPr="00D234AF">
        <w:rPr>
          <w:b/>
          <w:bCs/>
          <w:u w:val="single"/>
        </w:rPr>
        <w:t xml:space="preserve"> the Minister of Health</w:t>
      </w:r>
      <w:r w:rsidR="00AA2E7D" w:rsidRPr="00D234AF">
        <w:rPr>
          <w:b/>
          <w:bCs/>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bCs/>
          <w:u w:val="single"/>
        </w:rPr>
        <w:fldChar w:fldCharType="end"/>
      </w:r>
      <w:r w:rsidRPr="00D234AF">
        <w:rPr>
          <w:b/>
          <w:bCs/>
          <w:u w:val="single"/>
        </w:rPr>
        <w:t>:</w:t>
      </w:r>
    </w:p>
    <w:p w:rsidR="00F0427E" w:rsidRDefault="00F0427E" w:rsidP="00F0427E">
      <w:pPr>
        <w:spacing w:before="240"/>
        <w:ind w:right="26" w:firstLine="11"/>
        <w:jc w:val="both"/>
        <w:rPr>
          <w:rFonts w:ascii="Times New Roman" w:hAnsi="Times New Roman" w:cs="Times New Roman"/>
          <w:color w:val="222222"/>
          <w:sz w:val="20"/>
          <w:szCs w:val="20"/>
          <w:lang w:eastAsia="en-ZA"/>
        </w:rPr>
      </w:pPr>
      <w:r w:rsidRPr="00D234AF">
        <w:t xml:space="preserve">What (a) intervention measures has he and/or his department taken at the Stanford Terrace Clinic in </w:t>
      </w:r>
      <w:proofErr w:type="spellStart"/>
      <w:r w:rsidRPr="00D234AF">
        <w:t>Mthatha</w:t>
      </w:r>
      <w:proofErr w:type="spellEnd"/>
      <w:r w:rsidRPr="00D234AF">
        <w:t>, Eastern Cape, in 2021, where patients reportedly had to wait outside the locked gate in the rain while nurses enjoyed their lunch and (b) are the reasons that the problem has not been solved as complaints of a similar nature continue to be reported?</w:t>
      </w:r>
      <w:r w:rsidRPr="00727AC6">
        <w:rPr>
          <w:rFonts w:ascii="Times New Roman" w:hAnsi="Times New Roman" w:cs="Times New Roman"/>
        </w:rPr>
        <w:tab/>
      </w:r>
      <w:r w:rsidRPr="00727AC6">
        <w:rPr>
          <w:rFonts w:ascii="Times New Roman" w:hAnsi="Times New Roman" w:cs="Times New Roman"/>
          <w:color w:val="222222"/>
          <w:lang w:eastAsia="en-ZA"/>
        </w:rPr>
        <w:tab/>
      </w:r>
      <w:r w:rsidRPr="00727AC6">
        <w:rPr>
          <w:rFonts w:ascii="Times New Roman" w:hAnsi="Times New Roman" w:cs="Times New Roman"/>
          <w:color w:val="222222"/>
          <w:lang w:eastAsia="en-ZA"/>
        </w:rPr>
        <w:tab/>
      </w:r>
      <w:r>
        <w:rPr>
          <w:rFonts w:ascii="Times New Roman" w:hAnsi="Times New Roman" w:cs="Times New Roman"/>
          <w:color w:val="222222"/>
          <w:lang w:eastAsia="en-ZA"/>
        </w:rPr>
        <w:t xml:space="preserve">         </w:t>
      </w:r>
      <w:r w:rsidRPr="003B67D0">
        <w:rPr>
          <w:rFonts w:ascii="Times New Roman" w:hAnsi="Times New Roman" w:cs="Times New Roman"/>
          <w:color w:val="222222"/>
          <w:sz w:val="20"/>
          <w:szCs w:val="20"/>
          <w:lang w:eastAsia="en-ZA"/>
        </w:rPr>
        <w:t>NW1683E</w:t>
      </w:r>
    </w:p>
    <w:p w:rsidR="00F0427E" w:rsidRDefault="00F0427E" w:rsidP="00F0427E">
      <w:pPr>
        <w:pStyle w:val="EndnoteText"/>
        <w:rPr>
          <w:sz w:val="24"/>
          <w:szCs w:val="24"/>
        </w:rPr>
      </w:pPr>
    </w:p>
    <w:p w:rsidR="00F0427E" w:rsidRPr="00D234AF" w:rsidRDefault="00F0427E" w:rsidP="00F0427E">
      <w:pPr>
        <w:pStyle w:val="EndnoteText"/>
        <w:rPr>
          <w:rFonts w:ascii="Arial" w:hAnsi="Arial" w:cs="Arial"/>
          <w:b/>
          <w:sz w:val="24"/>
          <w:szCs w:val="24"/>
          <w:u w:val="single"/>
        </w:rPr>
      </w:pPr>
      <w:r w:rsidRPr="00D234AF">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The National Department of is still consulting with the Eastern Cape Provincial Department of Health to source the requested information. As soon as the information has been received from the Province, the Minister will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1429</w:t>
      </w:r>
    </w:p>
    <w:p w:rsidR="00F0427E" w:rsidRDefault="00F0427E" w:rsidP="00F0427E">
      <w:pPr>
        <w:pStyle w:val="EndnoteText"/>
        <w:rPr>
          <w:sz w:val="24"/>
          <w:szCs w:val="24"/>
        </w:rPr>
      </w:pPr>
    </w:p>
    <w:p w:rsidR="00F0427E" w:rsidRPr="00D234AF" w:rsidRDefault="00F0427E" w:rsidP="00F0427E">
      <w:pPr>
        <w:spacing w:before="100" w:beforeAutospacing="1" w:after="100" w:afterAutospacing="1"/>
        <w:ind w:left="720" w:hanging="720"/>
        <w:jc w:val="both"/>
        <w:outlineLvl w:val="0"/>
        <w:rPr>
          <w:u w:val="single"/>
        </w:rPr>
      </w:pPr>
      <w:r w:rsidRPr="00D234AF">
        <w:rPr>
          <w:b/>
          <w:u w:val="single"/>
        </w:rPr>
        <w:t>Mrs M O Clarke (DA) to ask the Minister of Health</w:t>
      </w:r>
      <w:r w:rsidR="00AA2E7D" w:rsidRPr="00D234AF">
        <w:rPr>
          <w:b/>
          <w:u w:val="single"/>
        </w:rPr>
        <w:fldChar w:fldCharType="begin"/>
      </w:r>
      <w:r w:rsidRPr="00D234AF">
        <w:rPr>
          <w:u w:val="single"/>
        </w:rPr>
        <w:instrText xml:space="preserve"> XE "</w:instrText>
      </w:r>
      <w:r w:rsidRPr="00D234AF">
        <w:rPr>
          <w:b/>
          <w:u w:val="single"/>
        </w:rPr>
        <w:instrText>Health</w:instrText>
      </w:r>
      <w:r w:rsidRPr="00D234AF">
        <w:rPr>
          <w:u w:val="single"/>
        </w:rPr>
        <w:instrText xml:space="preserve">" </w:instrText>
      </w:r>
      <w:r w:rsidR="00AA2E7D" w:rsidRPr="00D234AF">
        <w:rPr>
          <w:b/>
          <w:u w:val="single"/>
        </w:rPr>
        <w:fldChar w:fldCharType="end"/>
      </w:r>
      <w:r w:rsidRPr="00D234AF">
        <w:rPr>
          <w:b/>
          <w:u w:val="single"/>
        </w:rPr>
        <w:t>:</w:t>
      </w:r>
    </w:p>
    <w:p w:rsidR="00F0427E" w:rsidRPr="00D234AF" w:rsidRDefault="00F0427E" w:rsidP="00F0427E">
      <w:pPr>
        <w:spacing w:before="100" w:beforeAutospacing="1" w:after="100" w:afterAutospacing="1"/>
        <w:ind w:left="709" w:hanging="720"/>
        <w:jc w:val="both"/>
        <w:outlineLvl w:val="0"/>
      </w:pPr>
      <w:r w:rsidRPr="00D234AF">
        <w:t>(1)</w:t>
      </w:r>
      <w:r w:rsidRPr="00D234AF">
        <w:tab/>
        <w:t>What (a) is the (</w:t>
      </w:r>
      <w:proofErr w:type="spellStart"/>
      <w:r w:rsidRPr="00D234AF">
        <w:t>i</w:t>
      </w:r>
      <w:proofErr w:type="spellEnd"/>
      <w:r w:rsidRPr="00D234AF">
        <w:t>) total outstanding amount for medical claims currently and (ii) break down of the amount for each province and (b) were the claims for;</w:t>
      </w:r>
    </w:p>
    <w:p w:rsidR="00F0427E" w:rsidRPr="00D234AF" w:rsidRDefault="00F0427E" w:rsidP="00F0427E">
      <w:pPr>
        <w:spacing w:before="100" w:beforeAutospacing="1" w:after="100" w:afterAutospacing="1"/>
        <w:ind w:left="709" w:hanging="720"/>
        <w:jc w:val="both"/>
        <w:outlineLvl w:val="0"/>
      </w:pPr>
      <w:r w:rsidRPr="00D234AF">
        <w:t>(2)</w:t>
      </w:r>
      <w:r w:rsidRPr="00D234AF">
        <w:tab/>
        <w:t>what is the total status quo in terms of legal costs for the specified claims broken down for each province;</w:t>
      </w:r>
    </w:p>
    <w:p w:rsidR="00F0427E" w:rsidRPr="00D234AF" w:rsidRDefault="00F0427E" w:rsidP="00F0427E">
      <w:pPr>
        <w:spacing w:before="100" w:beforeAutospacing="1" w:after="100" w:afterAutospacing="1"/>
        <w:ind w:left="709" w:hanging="720"/>
        <w:jc w:val="both"/>
        <w:outlineLvl w:val="0"/>
      </w:pPr>
      <w:r w:rsidRPr="00D234AF">
        <w:t>(3)</w:t>
      </w:r>
      <w:r w:rsidRPr="00D234AF">
        <w:tab/>
        <w:t>whether the (a) legal costs and (b) costs of the outstanding medical claims have been factored into the current health budget; if not, why not; if so, what are the relevant details;</w:t>
      </w:r>
    </w:p>
    <w:p w:rsidR="00F0427E" w:rsidRPr="00F95618" w:rsidRDefault="00F0427E" w:rsidP="00F0427E">
      <w:pPr>
        <w:spacing w:before="100" w:beforeAutospacing="1" w:after="100" w:afterAutospacing="1"/>
        <w:ind w:left="709" w:hanging="720"/>
        <w:jc w:val="both"/>
        <w:outlineLvl w:val="0"/>
        <w:rPr>
          <w:sz w:val="20"/>
          <w:szCs w:val="20"/>
        </w:rPr>
      </w:pPr>
      <w:r w:rsidRPr="00D234AF">
        <w:t>(4)</w:t>
      </w:r>
      <w:r w:rsidRPr="00D234AF">
        <w:tab/>
        <w:t>whether the specified (a) legal costs and (b) cost of the outstanding medical claims have been factored into the current costing of the National Health</w:t>
      </w:r>
      <w:r w:rsidR="00AA2E7D" w:rsidRPr="00D234AF">
        <w:fldChar w:fldCharType="begin"/>
      </w:r>
      <w:r w:rsidRPr="00D234AF">
        <w:instrText xml:space="preserve"> XE "</w:instrText>
      </w:r>
      <w:r w:rsidRPr="00D234AF">
        <w:rPr>
          <w:b/>
        </w:rPr>
        <w:instrText>Health</w:instrText>
      </w:r>
      <w:r w:rsidRPr="00D234AF">
        <w:instrText xml:space="preserve">" </w:instrText>
      </w:r>
      <w:r w:rsidR="00AA2E7D" w:rsidRPr="00D234AF">
        <w:fldChar w:fldCharType="end"/>
      </w:r>
      <w:r w:rsidRPr="00D234AF">
        <w:t xml:space="preserve"> Insurance Bill [B11-2019]; if not, why not; if so, what are the relevant details?</w:t>
      </w:r>
      <w:r w:rsidRPr="004A49FF">
        <w:rPr>
          <w:rFonts w:ascii="Times New Roman" w:hAnsi="Times New Roman" w:cs="Times New Roman"/>
        </w:rPr>
        <w:tab/>
      </w:r>
      <w:r w:rsidRPr="004A49FF">
        <w:rPr>
          <w:rFonts w:ascii="Times New Roman" w:hAnsi="Times New Roman" w:cs="Times New Roman"/>
        </w:rPr>
        <w:tab/>
      </w:r>
      <w:r w:rsidRPr="004A49FF">
        <w:rPr>
          <w:rFonts w:ascii="Times New Roman" w:hAnsi="Times New Roman" w:cs="Times New Roman"/>
        </w:rPr>
        <w:tab/>
      </w:r>
      <w:r w:rsidRPr="004A49FF">
        <w:rPr>
          <w:rFonts w:ascii="Times New Roman" w:hAnsi="Times New Roman" w:cs="Times New Roman"/>
        </w:rPr>
        <w:tab/>
      </w:r>
      <w:r w:rsidRPr="00F95618">
        <w:t xml:space="preserve">         </w:t>
      </w:r>
      <w:r>
        <w:tab/>
      </w:r>
      <w:r>
        <w:tab/>
      </w:r>
      <w:r>
        <w:tab/>
        <w:t xml:space="preserve">   </w:t>
      </w:r>
      <w:r w:rsidRPr="00F95618">
        <w:rPr>
          <w:sz w:val="20"/>
          <w:szCs w:val="20"/>
        </w:rPr>
        <w:t>NW1747E</w:t>
      </w:r>
    </w:p>
    <w:p w:rsidR="00F0427E" w:rsidRDefault="00F0427E" w:rsidP="00F0427E">
      <w:pPr>
        <w:pStyle w:val="EndnoteText"/>
        <w:rPr>
          <w:sz w:val="24"/>
          <w:szCs w:val="24"/>
        </w:rPr>
      </w:pPr>
    </w:p>
    <w:p w:rsidR="00F0427E" w:rsidRPr="00F95618" w:rsidRDefault="00F0427E" w:rsidP="00F0427E">
      <w:pPr>
        <w:pStyle w:val="EndnoteText"/>
        <w:rPr>
          <w:rFonts w:ascii="Arial" w:hAnsi="Arial" w:cs="Arial"/>
          <w:b/>
          <w:color w:val="000000" w:themeColor="text1"/>
          <w:sz w:val="24"/>
          <w:szCs w:val="24"/>
          <w:u w:val="single"/>
        </w:rPr>
      </w:pPr>
      <w:r w:rsidRPr="00F95618">
        <w:rPr>
          <w:rFonts w:ascii="Arial" w:hAnsi="Arial" w:cs="Arial"/>
          <w:b/>
          <w:color w:val="000000" w:themeColor="text1"/>
          <w:sz w:val="24"/>
          <w:szCs w:val="24"/>
          <w:u w:val="single"/>
        </w:rPr>
        <w:t>REPLY:</w:t>
      </w:r>
    </w:p>
    <w:p w:rsidR="00F0427E" w:rsidRDefault="00F0427E" w:rsidP="00F0427E">
      <w:pPr>
        <w:pStyle w:val="EndnoteText"/>
        <w:rPr>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 xml:space="preserve">This information is not readily available at the National Department of </w:t>
      </w:r>
      <w:proofErr w:type="gramStart"/>
      <w:r>
        <w:rPr>
          <w:rFonts w:ascii="Arial" w:hAnsi="Arial" w:cs="Arial"/>
          <w:sz w:val="24"/>
          <w:szCs w:val="24"/>
        </w:rPr>
        <w:t>Health,</w:t>
      </w:r>
      <w:proofErr w:type="gramEnd"/>
      <w:r>
        <w:rPr>
          <w:rFonts w:ascii="Arial" w:hAnsi="Arial" w:cs="Arial"/>
          <w:sz w:val="24"/>
          <w:szCs w:val="24"/>
        </w:rPr>
        <w:t xml:space="preserve"> it is sourced from the Provincial Departments of Health. The National Department of is still consulting with the provinces to source the requested information. As soon as the information has been received from the provinces, the Minister will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Pr="00F95618" w:rsidRDefault="00F0427E" w:rsidP="00F0427E">
      <w:pPr>
        <w:pStyle w:val="EndnoteText"/>
        <w:jc w:val="both"/>
        <w:rPr>
          <w:rFonts w:ascii="Arial" w:hAnsi="Arial" w:cs="Arial"/>
          <w:sz w:val="24"/>
          <w:szCs w:val="24"/>
        </w:rPr>
      </w:pPr>
      <w:r>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1430</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20" w:hanging="720"/>
        <w:jc w:val="both"/>
        <w:outlineLvl w:val="0"/>
        <w:rPr>
          <w:u w:val="single"/>
        </w:rPr>
      </w:pPr>
      <w:r w:rsidRPr="00BE6246">
        <w:rPr>
          <w:b/>
          <w:u w:val="single"/>
        </w:rPr>
        <w:t>Mrs M O Clarke (DA) to ask the Minister of Health</w:t>
      </w:r>
      <w:r w:rsidR="00AA2E7D" w:rsidRPr="00BE6246">
        <w:rPr>
          <w:b/>
          <w:u w:val="single"/>
        </w:rPr>
        <w:fldChar w:fldCharType="begin"/>
      </w:r>
      <w:r w:rsidRPr="00BE6246">
        <w:rPr>
          <w:u w:val="single"/>
        </w:rPr>
        <w:instrText xml:space="preserve"> XE "</w:instrText>
      </w:r>
      <w:r w:rsidRPr="00BE6246">
        <w:rPr>
          <w:b/>
          <w:u w:val="single"/>
        </w:rPr>
        <w:instrText>Health</w:instrText>
      </w:r>
      <w:r w:rsidRPr="00BE6246">
        <w:rPr>
          <w:u w:val="single"/>
        </w:rPr>
        <w:instrText xml:space="preserve">" </w:instrText>
      </w:r>
      <w:r w:rsidR="00AA2E7D" w:rsidRPr="00BE6246">
        <w:rPr>
          <w:b/>
          <w:u w:val="single"/>
        </w:rPr>
        <w:fldChar w:fldCharType="end"/>
      </w:r>
      <w:r w:rsidRPr="00BE6246">
        <w:rPr>
          <w:b/>
          <w:u w:val="single"/>
        </w:rPr>
        <w:t xml:space="preserve">: </w:t>
      </w:r>
      <w:r w:rsidRPr="00BE6246">
        <w:rPr>
          <w:b/>
          <w:u w:val="single"/>
        </w:rPr>
        <w:tab/>
      </w:r>
    </w:p>
    <w:p w:rsidR="00F0427E" w:rsidRPr="00292D6E" w:rsidRDefault="00F0427E" w:rsidP="00F0427E">
      <w:pPr>
        <w:spacing w:before="240"/>
        <w:ind w:right="26" w:firstLine="11"/>
        <w:jc w:val="both"/>
        <w:rPr>
          <w:sz w:val="20"/>
          <w:szCs w:val="20"/>
        </w:rPr>
      </w:pPr>
      <w:r w:rsidRPr="00BE6246">
        <w:t>What (a)(</w:t>
      </w:r>
      <w:proofErr w:type="spellStart"/>
      <w:r w:rsidRPr="00BE6246">
        <w:t>i</w:t>
      </w:r>
      <w:proofErr w:type="spellEnd"/>
      <w:r w:rsidRPr="00BE6246">
        <w:t>) is the reason that the Republic has not allowed for foreign verification of vaccine passports into certain countries and (ii) consequences will this have for South Africans entering into those countries and (b) by what date will foreign verification of vaccine passports be available from a global point of view?</w:t>
      </w:r>
      <w:r w:rsidRPr="00BE6246">
        <w:tab/>
      </w:r>
      <w:r w:rsidRPr="004A49FF">
        <w:rPr>
          <w:rFonts w:ascii="Times New Roman" w:hAnsi="Times New Roman" w:cs="Times New Roman"/>
        </w:rPr>
        <w:tab/>
      </w:r>
      <w:r w:rsidRPr="004A49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92D6E">
        <w:rPr>
          <w:sz w:val="20"/>
          <w:szCs w:val="20"/>
        </w:rPr>
        <w:t>NW1748E</w:t>
      </w:r>
    </w:p>
    <w:p w:rsidR="00F0427E" w:rsidRDefault="00F0427E" w:rsidP="00F0427E">
      <w:pPr>
        <w:pStyle w:val="EndnoteText"/>
        <w:rPr>
          <w:sz w:val="24"/>
          <w:szCs w:val="24"/>
        </w:rPr>
      </w:pPr>
    </w:p>
    <w:p w:rsidR="00F0427E" w:rsidRPr="005E6FA2" w:rsidRDefault="00F0427E" w:rsidP="00F0427E">
      <w:pPr>
        <w:pStyle w:val="EndnoteText"/>
        <w:rPr>
          <w:rFonts w:ascii="Arial" w:hAnsi="Arial" w:cs="Arial"/>
          <w:b/>
          <w:sz w:val="24"/>
          <w:szCs w:val="24"/>
          <w:u w:val="single"/>
        </w:rPr>
      </w:pPr>
      <w:r w:rsidRPr="005E6FA2">
        <w:rPr>
          <w:rFonts w:ascii="Arial" w:hAnsi="Arial" w:cs="Arial"/>
          <w:b/>
          <w:sz w:val="24"/>
          <w:szCs w:val="24"/>
          <w:u w:val="single"/>
        </w:rPr>
        <w:t>REPLY:</w:t>
      </w:r>
    </w:p>
    <w:p w:rsidR="00F0427E" w:rsidRDefault="00F0427E" w:rsidP="00B8050D">
      <w:pPr>
        <w:pStyle w:val="ListParagraph"/>
        <w:numPr>
          <w:ilvl w:val="0"/>
          <w:numId w:val="5"/>
        </w:numPr>
        <w:tabs>
          <w:tab w:val="left" w:pos="709"/>
        </w:tabs>
        <w:spacing w:before="100" w:beforeAutospacing="1" w:after="100" w:afterAutospacing="1"/>
        <w:ind w:left="1418" w:hanging="1418"/>
        <w:jc w:val="both"/>
        <w:outlineLvl w:val="0"/>
        <w:rPr>
          <w:bCs/>
          <w:sz w:val="24"/>
        </w:rPr>
      </w:pPr>
      <w:r w:rsidRPr="005E6FA2">
        <w:rPr>
          <w:bCs/>
          <w:sz w:val="24"/>
        </w:rPr>
        <w:t>(</w:t>
      </w:r>
      <w:proofErr w:type="spellStart"/>
      <w:r w:rsidRPr="005E6FA2">
        <w:rPr>
          <w:bCs/>
          <w:sz w:val="24"/>
        </w:rPr>
        <w:t>i</w:t>
      </w:r>
      <w:proofErr w:type="spellEnd"/>
      <w:r w:rsidRPr="005E6FA2">
        <w:rPr>
          <w:bCs/>
          <w:sz w:val="24"/>
        </w:rPr>
        <w:t>)</w:t>
      </w:r>
      <w:r w:rsidRPr="005E6FA2">
        <w:rPr>
          <w:b/>
          <w:sz w:val="24"/>
        </w:rPr>
        <w:tab/>
      </w:r>
      <w:r w:rsidRPr="005E6FA2">
        <w:rPr>
          <w:bCs/>
          <w:sz w:val="24"/>
        </w:rPr>
        <w:t>Countries generally do not provide mechanisms for verification of vaccinations in other countries (other than their trading blocs as in the EU). It is not possible for South Africa to verify vaccination certificates from other countries in South Africa. The QR codes from most countries are also not readable outside of their own countries. This is for security reasons and to prevent fraud. As a way to accept other country vaccination certificates the Department of International Relations and Cooperation has taken responsibility for the negotiations of reciprocity for the acceptance of Vaccination Certificates through the individual country embassies. This will provide for the acceptance of the South African Vaccination Certificates by foreign countries and in return the acceptance of vaccination certificates from foreign countries within South Africa.</w:t>
      </w:r>
    </w:p>
    <w:p w:rsidR="00F0427E" w:rsidRPr="005E6FA2" w:rsidRDefault="00F0427E" w:rsidP="00F0427E">
      <w:pPr>
        <w:tabs>
          <w:tab w:val="left" w:pos="709"/>
        </w:tabs>
        <w:spacing w:before="100" w:beforeAutospacing="1" w:after="100" w:afterAutospacing="1"/>
        <w:ind w:left="1418" w:hanging="1418"/>
        <w:jc w:val="both"/>
        <w:outlineLvl w:val="0"/>
        <w:rPr>
          <w:bCs/>
        </w:rPr>
      </w:pPr>
      <w:r>
        <w:rPr>
          <w:bCs/>
        </w:rPr>
        <w:tab/>
      </w:r>
      <w:r w:rsidRPr="005E6FA2">
        <w:rPr>
          <w:bCs/>
        </w:rPr>
        <w:t>(ii)</w:t>
      </w:r>
      <w:r w:rsidRPr="005E6FA2">
        <w:rPr>
          <w:bCs/>
        </w:rPr>
        <w:tab/>
        <w:t>Where individuals are experiencing challenges with regards to entering another country, and the SA COVID 19 Vaccination Certificates are questioned, this is being handled through the embassies on a case-by-case basis.</w:t>
      </w:r>
    </w:p>
    <w:p w:rsidR="00F0427E" w:rsidRPr="005E6FA2" w:rsidRDefault="00F0427E" w:rsidP="00B8050D">
      <w:pPr>
        <w:pStyle w:val="ListParagraph"/>
        <w:numPr>
          <w:ilvl w:val="0"/>
          <w:numId w:val="4"/>
        </w:numPr>
        <w:spacing w:before="100" w:beforeAutospacing="1" w:after="100" w:afterAutospacing="1"/>
        <w:ind w:hanging="720"/>
        <w:contextualSpacing w:val="0"/>
        <w:jc w:val="both"/>
        <w:outlineLvl w:val="0"/>
        <w:rPr>
          <w:bCs/>
          <w:sz w:val="24"/>
          <w:lang w:val="en-ZA"/>
        </w:rPr>
      </w:pPr>
      <w:proofErr w:type="gramStart"/>
      <w:r w:rsidRPr="005E6FA2">
        <w:rPr>
          <w:bCs/>
          <w:sz w:val="24"/>
          <w:lang w:val="en-ZA"/>
        </w:rPr>
        <w:t>The are</w:t>
      </w:r>
      <w:proofErr w:type="gramEnd"/>
      <w:r w:rsidRPr="005E6FA2">
        <w:rPr>
          <w:bCs/>
          <w:sz w:val="24"/>
          <w:lang w:val="en-ZA"/>
        </w:rPr>
        <w:t xml:space="preserve"> no common international standards for the COVID 19 Vaccination Certificate development or its technology use cases. This is an ever-evolving environment within different countries or regions’ specific policies. Within the above scenario a specific date cannot be confirmed.</w:t>
      </w:r>
    </w:p>
    <w:p w:rsidR="00F0427E" w:rsidRDefault="00F0427E" w:rsidP="00F0427E">
      <w:pPr>
        <w:pStyle w:val="EndnoteText"/>
        <w:rPr>
          <w:sz w:val="24"/>
          <w:szCs w:val="24"/>
        </w:rPr>
      </w:pPr>
    </w:p>
    <w:p w:rsidR="00F0427E" w:rsidRPr="005641DC" w:rsidRDefault="00F0427E" w:rsidP="00F0427E">
      <w:pPr>
        <w:pStyle w:val="EndnoteText"/>
        <w:rPr>
          <w:rFonts w:ascii="Arial" w:hAnsi="Arial" w:cs="Arial"/>
          <w:sz w:val="24"/>
          <w:szCs w:val="24"/>
        </w:rPr>
      </w:pPr>
      <w:r w:rsidRPr="005641DC">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1441</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20" w:hanging="720"/>
        <w:jc w:val="both"/>
        <w:outlineLvl w:val="0"/>
        <w:rPr>
          <w:u w:val="single"/>
        </w:rPr>
      </w:pPr>
      <w:r w:rsidRPr="00BE6246">
        <w:rPr>
          <w:b/>
          <w:u w:val="single"/>
        </w:rPr>
        <w:t>Ms H Ismail (DA) to ask the Minister of Health</w:t>
      </w:r>
      <w:r w:rsidR="00AA2E7D" w:rsidRPr="00BE6246">
        <w:rPr>
          <w:b/>
          <w:u w:val="single"/>
        </w:rPr>
        <w:fldChar w:fldCharType="begin"/>
      </w:r>
      <w:r w:rsidRPr="00BE6246">
        <w:rPr>
          <w:u w:val="single"/>
        </w:rPr>
        <w:instrText xml:space="preserve"> XE "</w:instrText>
      </w:r>
      <w:r w:rsidRPr="00BE6246">
        <w:rPr>
          <w:b/>
          <w:u w:val="single"/>
        </w:rPr>
        <w:instrText>Health</w:instrText>
      </w:r>
      <w:r w:rsidRPr="00BE6246">
        <w:rPr>
          <w:u w:val="single"/>
        </w:rPr>
        <w:instrText xml:space="preserve">" </w:instrText>
      </w:r>
      <w:r w:rsidR="00AA2E7D" w:rsidRPr="00BE6246">
        <w:rPr>
          <w:b/>
          <w:u w:val="single"/>
        </w:rPr>
        <w:fldChar w:fldCharType="end"/>
      </w:r>
      <w:r w:rsidRPr="00BE6246">
        <w:rPr>
          <w:b/>
          <w:u w:val="single"/>
        </w:rPr>
        <w:t xml:space="preserve">: </w:t>
      </w:r>
    </w:p>
    <w:p w:rsidR="00F0427E" w:rsidRPr="00BE6246" w:rsidRDefault="00F0427E" w:rsidP="00F0427E">
      <w:pPr>
        <w:spacing w:before="100" w:beforeAutospacing="1" w:after="100" w:afterAutospacing="1"/>
        <w:jc w:val="both"/>
        <w:outlineLvl w:val="0"/>
        <w:rPr>
          <w:rFonts w:ascii="Times New Roman" w:hAnsi="Times New Roman" w:cs="Times New Roman"/>
        </w:rPr>
      </w:pPr>
      <w:r w:rsidRPr="00BE6246">
        <w:t>Whether the Nelson Mandela-Fidel Castro Collaboration Programme is a national programme; if not, what is the position in this regard; if so, is it funded provincially or nationally?</w:t>
      </w:r>
      <w:r>
        <w:rPr>
          <w:rFonts w:ascii="Times New Roman" w:hAnsi="Times New Roman" w:cs="Times New Roman"/>
        </w:rPr>
        <w:t xml:space="preserve">                </w:t>
      </w:r>
      <w:r w:rsidRPr="00C4587F">
        <w:rPr>
          <w:rFonts w:ascii="Times New Roman" w:hAnsi="Times New Roman" w:cs="Times New Roman"/>
          <w:sz w:val="20"/>
          <w:szCs w:val="20"/>
        </w:rPr>
        <w:t>NW1759E</w:t>
      </w:r>
    </w:p>
    <w:p w:rsidR="00F0427E" w:rsidRDefault="00F0427E" w:rsidP="00F0427E">
      <w:pPr>
        <w:pStyle w:val="EndnoteText"/>
        <w:rPr>
          <w:sz w:val="24"/>
          <w:szCs w:val="24"/>
        </w:rPr>
      </w:pPr>
    </w:p>
    <w:p w:rsidR="00F0427E" w:rsidRPr="00BE6246" w:rsidRDefault="00F0427E" w:rsidP="00F0427E">
      <w:pPr>
        <w:pStyle w:val="EndnoteText"/>
        <w:rPr>
          <w:rFonts w:ascii="Arial" w:hAnsi="Arial" w:cs="Arial"/>
          <w:b/>
          <w:sz w:val="24"/>
          <w:szCs w:val="24"/>
          <w:u w:val="single"/>
        </w:rPr>
      </w:pPr>
      <w:r w:rsidRPr="00BE6246">
        <w:rPr>
          <w:rFonts w:ascii="Arial" w:hAnsi="Arial" w:cs="Arial"/>
          <w:b/>
          <w:sz w:val="24"/>
          <w:szCs w:val="24"/>
          <w:u w:val="single"/>
        </w:rPr>
        <w:t>REPLY:</w:t>
      </w:r>
    </w:p>
    <w:p w:rsidR="00F0427E" w:rsidRDefault="00F0427E" w:rsidP="00F0427E">
      <w:pPr>
        <w:pStyle w:val="EndnoteText"/>
        <w:rPr>
          <w:sz w:val="24"/>
          <w:szCs w:val="24"/>
        </w:rPr>
      </w:pPr>
    </w:p>
    <w:p w:rsidR="00F0427E" w:rsidRPr="000639F0" w:rsidRDefault="00F0427E" w:rsidP="00F0427E">
      <w:pPr>
        <w:pStyle w:val="EndnoteText"/>
        <w:jc w:val="both"/>
        <w:rPr>
          <w:rFonts w:ascii="Arial" w:hAnsi="Arial" w:cs="Arial"/>
          <w:sz w:val="24"/>
          <w:szCs w:val="24"/>
        </w:rPr>
      </w:pPr>
      <w:r w:rsidRPr="00EA5221">
        <w:rPr>
          <w:rFonts w:ascii="Arial" w:hAnsi="Arial" w:cs="Arial"/>
          <w:sz w:val="24"/>
          <w:szCs w:val="24"/>
        </w:rPr>
        <w:t xml:space="preserve">The Nelson Mandela Fidel Castro Medical Collaboration Programme is </w:t>
      </w:r>
      <w:r>
        <w:rPr>
          <w:rFonts w:ascii="Arial" w:hAnsi="Arial" w:cs="Arial"/>
          <w:sz w:val="24"/>
          <w:szCs w:val="24"/>
        </w:rPr>
        <w:t xml:space="preserve">a </w:t>
      </w:r>
      <w:r w:rsidRPr="00EA5221">
        <w:rPr>
          <w:rFonts w:ascii="Arial" w:hAnsi="Arial" w:cs="Arial"/>
          <w:sz w:val="24"/>
          <w:szCs w:val="24"/>
        </w:rPr>
        <w:t xml:space="preserve">National Programme that was established through a </w:t>
      </w:r>
      <w:r>
        <w:rPr>
          <w:rFonts w:ascii="Arial" w:hAnsi="Arial" w:cs="Arial"/>
          <w:sz w:val="24"/>
          <w:szCs w:val="24"/>
        </w:rPr>
        <w:t xml:space="preserve">Government-to-Government </w:t>
      </w:r>
      <w:r w:rsidRPr="00EA5221">
        <w:rPr>
          <w:rFonts w:ascii="Arial" w:hAnsi="Arial" w:cs="Arial"/>
          <w:sz w:val="24"/>
          <w:szCs w:val="24"/>
        </w:rPr>
        <w:t>memorandum of agreement between the government of the Republic of Cuba and the government of the Republic of South Africa. Eight (8) provincial departments of Health are participating in the programme except one provincial department of health. The participating provinces fund the training of students that come directly from these provinces.</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Pr="000639F0" w:rsidRDefault="00F0427E" w:rsidP="00F0427E">
      <w:pPr>
        <w:pStyle w:val="EndnoteText"/>
        <w:rPr>
          <w:rFonts w:ascii="Arial" w:hAnsi="Arial" w:cs="Arial"/>
          <w:sz w:val="24"/>
          <w:szCs w:val="24"/>
        </w:rPr>
      </w:pPr>
      <w:r w:rsidRPr="000639F0">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1442</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20" w:hanging="720"/>
        <w:jc w:val="both"/>
        <w:outlineLvl w:val="0"/>
        <w:rPr>
          <w:u w:val="single"/>
        </w:rPr>
      </w:pPr>
      <w:r w:rsidRPr="00BE6246">
        <w:rPr>
          <w:b/>
          <w:u w:val="single"/>
        </w:rPr>
        <w:t>Ms H Ismail (DA) to ask the Minister of Health</w:t>
      </w:r>
      <w:r w:rsidR="00AA2E7D" w:rsidRPr="00BE6246">
        <w:rPr>
          <w:b/>
          <w:u w:val="single"/>
        </w:rPr>
        <w:fldChar w:fldCharType="begin"/>
      </w:r>
      <w:r w:rsidRPr="00BE6246">
        <w:rPr>
          <w:u w:val="single"/>
        </w:rPr>
        <w:instrText xml:space="preserve"> XE "</w:instrText>
      </w:r>
      <w:r w:rsidRPr="00BE6246">
        <w:rPr>
          <w:b/>
          <w:u w:val="single"/>
        </w:rPr>
        <w:instrText>Health</w:instrText>
      </w:r>
      <w:r w:rsidRPr="00BE6246">
        <w:rPr>
          <w:u w:val="single"/>
        </w:rPr>
        <w:instrText xml:space="preserve">" </w:instrText>
      </w:r>
      <w:r w:rsidR="00AA2E7D" w:rsidRPr="00BE6246">
        <w:rPr>
          <w:b/>
          <w:u w:val="single"/>
        </w:rPr>
        <w:fldChar w:fldCharType="end"/>
      </w:r>
      <w:r w:rsidRPr="00BE6246">
        <w:rPr>
          <w:b/>
          <w:u w:val="single"/>
        </w:rPr>
        <w:t xml:space="preserve">: </w:t>
      </w:r>
    </w:p>
    <w:p w:rsidR="00F0427E" w:rsidRPr="00BE6246" w:rsidRDefault="00F0427E" w:rsidP="00F0427E">
      <w:pPr>
        <w:spacing w:before="100" w:beforeAutospacing="1" w:after="100" w:afterAutospacing="1"/>
        <w:ind w:left="709" w:hanging="720"/>
        <w:jc w:val="both"/>
        <w:outlineLvl w:val="0"/>
      </w:pPr>
      <w:r w:rsidRPr="00BE6246">
        <w:t>(1)</w:t>
      </w:r>
      <w:r w:rsidRPr="00BE6246">
        <w:tab/>
        <w:t>What (a) number of (</w:t>
      </w:r>
      <w:proofErr w:type="spellStart"/>
      <w:r w:rsidRPr="00BE6246">
        <w:t>i</w:t>
      </w:r>
      <w:proofErr w:type="spellEnd"/>
      <w:r w:rsidRPr="00BE6246">
        <w:t>) doctors, (ii) paramedics and (iii) nurses have been victims of a violent and/or non-violent crime in the workplace and (b) is the breakdown in each province;</w:t>
      </w:r>
    </w:p>
    <w:p w:rsidR="00F0427E" w:rsidRDefault="00F0427E" w:rsidP="00F0427E">
      <w:pPr>
        <w:spacing w:before="100" w:beforeAutospacing="1" w:after="100" w:afterAutospacing="1"/>
        <w:ind w:left="709" w:hanging="720"/>
        <w:jc w:val="both"/>
        <w:outlineLvl w:val="0"/>
        <w:rPr>
          <w:rFonts w:ascii="Times New Roman" w:hAnsi="Times New Roman" w:cs="Times New Roman"/>
          <w:sz w:val="20"/>
          <w:szCs w:val="20"/>
        </w:rPr>
      </w:pPr>
      <w:r w:rsidRPr="00BE6246">
        <w:t>(2)</w:t>
      </w:r>
      <w:r w:rsidRPr="00BE6246">
        <w:tab/>
      </w:r>
      <w:proofErr w:type="gramStart"/>
      <w:r w:rsidRPr="00BE6246">
        <w:t>what</w:t>
      </w:r>
      <w:proofErr w:type="gramEnd"/>
      <w:r w:rsidRPr="00BE6246">
        <w:t xml:space="preserve"> (a) plans have been put in place to improve the safety of medical staff on duty and (b) has he found to be the highest and lowest risk areas in the Republic in this regard?</w:t>
      </w:r>
      <w:r>
        <w:rPr>
          <w:rFonts w:ascii="Times New Roman" w:hAnsi="Times New Roman" w:cs="Times New Roman"/>
        </w:rPr>
        <w:t xml:space="preserve">   </w:t>
      </w:r>
      <w:r w:rsidRPr="005761F0">
        <w:rPr>
          <w:rFonts w:ascii="Times New Roman" w:hAnsi="Times New Roman" w:cs="Times New Roman"/>
          <w:sz w:val="20"/>
          <w:szCs w:val="20"/>
        </w:rPr>
        <w:t>NW1760E</w:t>
      </w:r>
    </w:p>
    <w:p w:rsidR="00F0427E" w:rsidRDefault="00F0427E" w:rsidP="00F0427E">
      <w:pPr>
        <w:pStyle w:val="EndnoteText"/>
        <w:rPr>
          <w:sz w:val="24"/>
          <w:szCs w:val="24"/>
        </w:rPr>
      </w:pPr>
    </w:p>
    <w:p w:rsidR="00F0427E" w:rsidRPr="00BE6246" w:rsidRDefault="00F0427E" w:rsidP="00F0427E">
      <w:pPr>
        <w:pStyle w:val="EndnoteText"/>
        <w:rPr>
          <w:rFonts w:ascii="Arial" w:hAnsi="Arial" w:cs="Arial"/>
          <w:b/>
          <w:sz w:val="24"/>
          <w:szCs w:val="24"/>
          <w:u w:val="single"/>
        </w:rPr>
      </w:pPr>
      <w:r w:rsidRPr="00BE6246">
        <w:rPr>
          <w:rFonts w:ascii="Arial" w:hAnsi="Arial" w:cs="Arial"/>
          <w:b/>
          <w:sz w:val="24"/>
          <w:szCs w:val="24"/>
          <w:u w:val="single"/>
        </w:rPr>
        <w:t>REPLY:</w:t>
      </w:r>
    </w:p>
    <w:p w:rsidR="00F0427E" w:rsidRPr="00BE6246" w:rsidRDefault="00F0427E" w:rsidP="00F0427E">
      <w:pPr>
        <w:pStyle w:val="EndnoteText"/>
        <w:rPr>
          <w:rFonts w:ascii="Arial" w:hAnsi="Arial" w:cs="Arial"/>
          <w:b/>
          <w:sz w:val="24"/>
          <w:szCs w:val="24"/>
          <w:u w:val="single"/>
        </w:rPr>
      </w:pPr>
    </w:p>
    <w:p w:rsidR="00F0427E" w:rsidRDefault="00F0427E" w:rsidP="00F0427E">
      <w:pPr>
        <w:pStyle w:val="EndnoteText"/>
        <w:jc w:val="both"/>
        <w:rPr>
          <w:rFonts w:ascii="Arial" w:hAnsi="Arial" w:cs="Arial"/>
          <w:sz w:val="24"/>
          <w:szCs w:val="24"/>
        </w:rPr>
      </w:pPr>
      <w:r>
        <w:rPr>
          <w:rFonts w:ascii="Arial" w:hAnsi="Arial" w:cs="Arial"/>
          <w:sz w:val="24"/>
          <w:szCs w:val="24"/>
        </w:rPr>
        <w:t xml:space="preserve">This information is not readily available at the National Department of </w:t>
      </w:r>
      <w:proofErr w:type="gramStart"/>
      <w:r>
        <w:rPr>
          <w:rFonts w:ascii="Arial" w:hAnsi="Arial" w:cs="Arial"/>
          <w:sz w:val="24"/>
          <w:szCs w:val="24"/>
        </w:rPr>
        <w:t>Health,</w:t>
      </w:r>
      <w:proofErr w:type="gramEnd"/>
      <w:r>
        <w:rPr>
          <w:rFonts w:ascii="Arial" w:hAnsi="Arial" w:cs="Arial"/>
          <w:sz w:val="24"/>
          <w:szCs w:val="24"/>
        </w:rPr>
        <w:t xml:space="preserve"> it is sourced from the Provincial Departments of Health. The National Department of is still consulting with the provinces to source the requested information. As soon as the information has been received from the provinces, the Minister will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Pr="00F95618" w:rsidRDefault="00F0427E" w:rsidP="00F0427E">
      <w:pPr>
        <w:pStyle w:val="EndnoteText"/>
        <w:jc w:val="both"/>
        <w:rPr>
          <w:rFonts w:ascii="Arial" w:hAnsi="Arial" w:cs="Arial"/>
          <w:sz w:val="24"/>
          <w:szCs w:val="24"/>
        </w:rPr>
      </w:pPr>
      <w:r>
        <w:rPr>
          <w:rFonts w:ascii="Arial" w:hAnsi="Arial" w:cs="Arial"/>
          <w:sz w:val="24"/>
          <w:szCs w:val="24"/>
        </w:rPr>
        <w:t>END.</w:t>
      </w:r>
    </w:p>
    <w:p w:rsidR="00F0427E" w:rsidRPr="00BE6246" w:rsidRDefault="00F0427E" w:rsidP="00F0427E">
      <w:pPr>
        <w:pStyle w:val="EndnoteText"/>
        <w:rPr>
          <w:rFonts w:ascii="Arial" w:hAnsi="Arial" w:cs="Arial"/>
          <w:b/>
          <w:sz w:val="24"/>
          <w:szCs w:val="24"/>
          <w:u w:val="single"/>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1457</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20" w:hanging="720"/>
        <w:jc w:val="both"/>
        <w:outlineLvl w:val="0"/>
        <w:rPr>
          <w:rFonts w:eastAsia="Calibri"/>
          <w:b/>
          <w:u w:val="single"/>
          <w:lang w:val="de-DE"/>
        </w:rPr>
      </w:pPr>
      <w:r w:rsidRPr="00BE6246">
        <w:rPr>
          <w:rFonts w:eastAsia="Calibri"/>
          <w:b/>
          <w:u w:val="single"/>
          <w:lang w:val="de-DE"/>
        </w:rPr>
        <w:t xml:space="preserve">Mr M S F de Freitas (DA) </w:t>
      </w:r>
      <w:r w:rsidRPr="00BE6246">
        <w:rPr>
          <w:b/>
          <w:bCs/>
          <w:u w:val="single"/>
          <w:lang w:val="en-US"/>
        </w:rPr>
        <w:t>to</w:t>
      </w:r>
      <w:r w:rsidRPr="00BE6246">
        <w:rPr>
          <w:rFonts w:eastAsia="Calibri"/>
          <w:b/>
          <w:u w:val="single"/>
          <w:lang w:val="de-DE"/>
        </w:rPr>
        <w:t xml:space="preserve"> ask the Minister of Health</w:t>
      </w:r>
      <w:r w:rsidR="00AA2E7D" w:rsidRPr="00BE6246">
        <w:rPr>
          <w:rFonts w:eastAsia="Calibri"/>
          <w:b/>
          <w:u w:val="single"/>
          <w:lang w:val="de-DE"/>
        </w:rPr>
        <w:fldChar w:fldCharType="begin"/>
      </w:r>
      <w:r w:rsidRPr="00BE6246">
        <w:rPr>
          <w:u w:val="single"/>
        </w:rPr>
        <w:instrText xml:space="preserve"> XE "</w:instrText>
      </w:r>
      <w:r w:rsidRPr="00BE6246">
        <w:rPr>
          <w:b/>
          <w:u w:val="single"/>
        </w:rPr>
        <w:instrText>Health</w:instrText>
      </w:r>
      <w:r w:rsidRPr="00BE6246">
        <w:rPr>
          <w:u w:val="single"/>
        </w:rPr>
        <w:instrText xml:space="preserve">" </w:instrText>
      </w:r>
      <w:r w:rsidR="00AA2E7D" w:rsidRPr="00BE6246">
        <w:rPr>
          <w:rFonts w:eastAsia="Calibri"/>
          <w:b/>
          <w:u w:val="single"/>
          <w:lang w:val="de-DE"/>
        </w:rPr>
        <w:fldChar w:fldCharType="end"/>
      </w:r>
      <w:r w:rsidRPr="00BE6246">
        <w:rPr>
          <w:rFonts w:eastAsia="Calibri"/>
          <w:b/>
          <w:u w:val="single"/>
          <w:lang w:val="de-DE"/>
        </w:rPr>
        <w:t xml:space="preserve">: </w:t>
      </w:r>
    </w:p>
    <w:p w:rsidR="00F0427E" w:rsidRPr="00BE6246" w:rsidRDefault="00F0427E" w:rsidP="00F0427E">
      <w:pPr>
        <w:spacing w:before="100" w:beforeAutospacing="1" w:after="100" w:afterAutospacing="1"/>
        <w:ind w:left="709" w:hanging="720"/>
        <w:jc w:val="both"/>
        <w:outlineLvl w:val="0"/>
      </w:pPr>
      <w:r w:rsidRPr="00BE6246">
        <w:t>(1)</w:t>
      </w:r>
      <w:r w:rsidRPr="00BE6246">
        <w:tab/>
        <w:t>With reference to the South Rand Hospital in (a) each of the past three financial years and (b) the current financial year, what was the (</w:t>
      </w:r>
      <w:proofErr w:type="spellStart"/>
      <w:r w:rsidRPr="00BE6246">
        <w:t>i</w:t>
      </w:r>
      <w:proofErr w:type="spellEnd"/>
      <w:r w:rsidRPr="00BE6246">
        <w:t xml:space="preserve">) allocated budget and expenditure, (ii) average expenditure in each month for water, electricity, security and security services, food and catering services, maintenance and upgrades, cleaning services, medication, consumables and disposables and (iii)(aa) maximum bed capacity and (bb) average bed occupancy in each month; </w:t>
      </w:r>
    </w:p>
    <w:p w:rsidR="00F0427E" w:rsidRDefault="00F0427E" w:rsidP="00F0427E">
      <w:pPr>
        <w:spacing w:before="100" w:beforeAutospacing="1" w:after="100" w:afterAutospacing="1"/>
        <w:ind w:left="709" w:hanging="720"/>
        <w:jc w:val="both"/>
        <w:outlineLvl w:val="0"/>
        <w:rPr>
          <w:rFonts w:ascii="Times New Roman" w:hAnsi="Times New Roman" w:cs="Times New Roman"/>
          <w:sz w:val="20"/>
          <w:szCs w:val="20"/>
        </w:rPr>
      </w:pPr>
      <w:r w:rsidRPr="00BE6246">
        <w:t>(2)</w:t>
      </w:r>
      <w:r w:rsidRPr="00BE6246">
        <w:tab/>
      </w:r>
      <w:proofErr w:type="gramStart"/>
      <w:r w:rsidRPr="00BE6246">
        <w:t>what</w:t>
      </w:r>
      <w:proofErr w:type="gramEnd"/>
      <w:r w:rsidRPr="00BE6246">
        <w:t xml:space="preserve"> is the (a) staff complement currently in each department of the hospital and (b) total number of posts that are unfilled currently in each department?</w:t>
      </w:r>
      <w:r w:rsidRPr="00BE6246">
        <w:tab/>
      </w:r>
      <w:r w:rsidRPr="00BE6246">
        <w:tab/>
      </w:r>
      <w:r>
        <w:rPr>
          <w:rFonts w:ascii="Times New Roman" w:hAnsi="Times New Roman" w:cs="Times New Roman"/>
        </w:rPr>
        <w:t xml:space="preserve">         </w:t>
      </w:r>
      <w:r>
        <w:rPr>
          <w:rFonts w:ascii="Times New Roman" w:hAnsi="Times New Roman" w:cs="Times New Roman"/>
          <w:sz w:val="20"/>
          <w:szCs w:val="20"/>
        </w:rPr>
        <w:t>NW1775E</w:t>
      </w:r>
    </w:p>
    <w:p w:rsidR="00F0427E" w:rsidRDefault="00F0427E" w:rsidP="00F0427E">
      <w:pPr>
        <w:pStyle w:val="EndnoteText"/>
        <w:rPr>
          <w:sz w:val="24"/>
          <w:szCs w:val="24"/>
        </w:rPr>
      </w:pPr>
    </w:p>
    <w:p w:rsidR="00F0427E" w:rsidRPr="00BE6246" w:rsidRDefault="00F0427E" w:rsidP="00F0427E">
      <w:pPr>
        <w:pStyle w:val="EndnoteText"/>
        <w:rPr>
          <w:rFonts w:ascii="Arial" w:hAnsi="Arial" w:cs="Arial"/>
          <w:b/>
          <w:sz w:val="24"/>
          <w:szCs w:val="24"/>
          <w:u w:val="single"/>
        </w:rPr>
      </w:pPr>
      <w:r w:rsidRPr="00BE6246">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The National Department of is still consulting with the Gauteng Provincial Department of Health to source the requested information. As soon as the information has been received from the Province, the Minister will furnish the Honourable Member with a full response.</w:t>
      </w: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p>
    <w:p w:rsidR="00F0427E" w:rsidRDefault="00F0427E" w:rsidP="00F0427E">
      <w:pPr>
        <w:pStyle w:val="EndnoteText"/>
        <w:jc w:val="both"/>
        <w:rPr>
          <w:rFonts w:ascii="Arial" w:hAnsi="Arial" w:cs="Arial"/>
          <w:sz w:val="24"/>
          <w:szCs w:val="24"/>
        </w:rPr>
      </w:pPr>
      <w:r>
        <w:rPr>
          <w:rFonts w:ascii="Arial" w:hAnsi="Arial" w:cs="Arial"/>
          <w:sz w:val="24"/>
          <w:szCs w:val="24"/>
        </w:rPr>
        <w:t>END.</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0001</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09" w:hanging="720"/>
        <w:jc w:val="both"/>
        <w:outlineLvl w:val="0"/>
        <w:rPr>
          <w:b/>
          <w:u w:val="single"/>
        </w:rPr>
      </w:pPr>
      <w:r w:rsidRPr="00BE6246">
        <w:rPr>
          <w:b/>
          <w:u w:val="single"/>
        </w:rPr>
        <w:t xml:space="preserve">0001. </w:t>
      </w:r>
      <w:r w:rsidRPr="00BE6246">
        <w:rPr>
          <w:b/>
          <w:u w:val="single"/>
        </w:rPr>
        <w:tab/>
        <w:t xml:space="preserve">Dr K L Jacobs (ANC) to ask the Minister of Health: </w:t>
      </w:r>
    </w:p>
    <w:p w:rsidR="00F0427E" w:rsidRPr="00BE6246" w:rsidRDefault="00F0427E" w:rsidP="00F0427E">
      <w:pPr>
        <w:spacing w:before="100" w:beforeAutospacing="1" w:after="100" w:afterAutospacing="1"/>
        <w:ind w:left="1418" w:hanging="698"/>
        <w:jc w:val="both"/>
        <w:outlineLvl w:val="0"/>
      </w:pPr>
      <w:r w:rsidRPr="00BE6246">
        <w:t>(1)</w:t>
      </w:r>
      <w:r w:rsidRPr="00BE6246">
        <w:tab/>
        <w:t>With regards to the Antimicrobial Resistance (AMR) being described as a global health emergency that will jeopardize progress in modern medicine, apart from South Africa’s contribution to the initial €56 million for the Global Antibiotic Research and Development Partnership in 2017, what other role does South Africa play in this structure;</w:t>
      </w:r>
    </w:p>
    <w:p w:rsidR="00F0427E" w:rsidRPr="00BE6246" w:rsidRDefault="00F0427E" w:rsidP="00F0427E">
      <w:pPr>
        <w:spacing w:before="100" w:beforeAutospacing="1" w:after="100" w:afterAutospacing="1"/>
        <w:ind w:left="1418" w:hanging="698"/>
        <w:jc w:val="both"/>
        <w:outlineLvl w:val="0"/>
      </w:pPr>
      <w:r w:rsidRPr="00BE6246">
        <w:t>(2)</w:t>
      </w:r>
      <w:r w:rsidRPr="00BE6246">
        <w:tab/>
        <w:t>what progress has been made by the Global Antibiotic Research and Development Partnership since it was set up in 2017;</w:t>
      </w:r>
    </w:p>
    <w:p w:rsidR="00F0427E" w:rsidRPr="00BE6246" w:rsidRDefault="00F0427E" w:rsidP="00F0427E">
      <w:pPr>
        <w:spacing w:before="100" w:beforeAutospacing="1" w:after="100" w:afterAutospacing="1"/>
        <w:ind w:left="1418" w:hanging="698"/>
        <w:jc w:val="both"/>
        <w:outlineLvl w:val="0"/>
      </w:pPr>
      <w:r w:rsidRPr="00BE6246">
        <w:t>(3)</w:t>
      </w:r>
      <w:r w:rsidRPr="00BE6246">
        <w:tab/>
      </w:r>
      <w:proofErr w:type="gramStart"/>
      <w:r w:rsidRPr="00BE6246">
        <w:t>has</w:t>
      </w:r>
      <w:proofErr w:type="gramEnd"/>
      <w:r w:rsidRPr="00BE6246">
        <w:t xml:space="preserve"> South Africa tabled a country report to the World Health </w:t>
      </w:r>
      <w:proofErr w:type="spellStart"/>
      <w:r w:rsidRPr="00BE6246">
        <w:t>Orgainsation</w:t>
      </w:r>
      <w:proofErr w:type="spellEnd"/>
      <w:r w:rsidRPr="00BE6246">
        <w:t xml:space="preserve"> (WHO) on AMR; if so, (a) what are the pressing matters reported; and if not, (b) why not and how and where does South Africa report its surveillance on AMR?</w:t>
      </w:r>
    </w:p>
    <w:p w:rsidR="00F0427E" w:rsidRDefault="00F0427E" w:rsidP="00F0427E">
      <w:pPr>
        <w:pStyle w:val="EndnoteText"/>
        <w:rPr>
          <w:sz w:val="24"/>
          <w:szCs w:val="24"/>
        </w:rPr>
      </w:pPr>
    </w:p>
    <w:p w:rsidR="00F0427E" w:rsidRPr="00BE6246" w:rsidRDefault="00F0427E" w:rsidP="00F0427E">
      <w:pPr>
        <w:pStyle w:val="EndnoteText"/>
        <w:rPr>
          <w:rFonts w:ascii="Arial" w:hAnsi="Arial" w:cs="Arial"/>
          <w:b/>
          <w:sz w:val="24"/>
          <w:szCs w:val="24"/>
          <w:u w:val="single"/>
        </w:rPr>
      </w:pPr>
      <w:r w:rsidRPr="00BE6246">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232</w:t>
      </w:r>
    </w:p>
    <w:p w:rsidR="00F0427E" w:rsidRDefault="00F0427E" w:rsidP="00F0427E">
      <w:pPr>
        <w:pStyle w:val="EndnoteText"/>
        <w:rPr>
          <w:sz w:val="24"/>
          <w:szCs w:val="24"/>
        </w:rPr>
      </w:pPr>
    </w:p>
    <w:p w:rsidR="00F0427E" w:rsidRPr="00BE6246" w:rsidRDefault="00F0427E" w:rsidP="00F0427E">
      <w:pPr>
        <w:spacing w:before="100" w:beforeAutospacing="1" w:after="100" w:afterAutospacing="1"/>
        <w:ind w:left="709" w:hanging="709"/>
        <w:jc w:val="both"/>
        <w:rPr>
          <w:u w:val="single"/>
        </w:rPr>
      </w:pPr>
      <w:r w:rsidRPr="00BE6246">
        <w:rPr>
          <w:b/>
          <w:u w:val="single"/>
        </w:rPr>
        <w:t xml:space="preserve">Mr M S </w:t>
      </w:r>
      <w:proofErr w:type="spellStart"/>
      <w:r w:rsidRPr="00BE6246">
        <w:rPr>
          <w:b/>
          <w:u w:val="single"/>
        </w:rPr>
        <w:t>Moletsane</w:t>
      </w:r>
      <w:proofErr w:type="spellEnd"/>
      <w:r w:rsidRPr="00BE6246">
        <w:rPr>
          <w:b/>
          <w:u w:val="single"/>
        </w:rPr>
        <w:t xml:space="preserve"> (Free State: EFF) to ask the Minister of Health: </w:t>
      </w:r>
    </w:p>
    <w:p w:rsidR="00F0427E" w:rsidRPr="00BE6246" w:rsidRDefault="00F0427E" w:rsidP="00F0427E">
      <w:pPr>
        <w:spacing w:before="100" w:beforeAutospacing="1" w:after="100" w:afterAutospacing="1"/>
        <w:ind w:left="709" w:hanging="709"/>
        <w:jc w:val="both"/>
      </w:pPr>
      <w:r w:rsidRPr="00BE6246">
        <w:t>(1)</w:t>
      </w:r>
      <w:r w:rsidRPr="00BE6246">
        <w:tab/>
        <w:t xml:space="preserve">Whether he has been informed that Cornelia and </w:t>
      </w:r>
      <w:proofErr w:type="spellStart"/>
      <w:r w:rsidRPr="00BE6246">
        <w:t>Tweeling</w:t>
      </w:r>
      <w:proofErr w:type="spellEnd"/>
      <w:r w:rsidRPr="00BE6246">
        <w:t xml:space="preserve"> in the </w:t>
      </w:r>
      <w:proofErr w:type="spellStart"/>
      <w:r w:rsidRPr="00BE6246">
        <w:t>Mafube</w:t>
      </w:r>
      <w:proofErr w:type="spellEnd"/>
      <w:r w:rsidRPr="00BE6246">
        <w:t xml:space="preserve"> sub-region in the Free State share ambulances that are kept in Frankfort which is approximately 60 kilometres away; if not, what is the position in this regard; if so, what are the relevant details;</w:t>
      </w:r>
    </w:p>
    <w:p w:rsidR="00F0427E" w:rsidRPr="00676945" w:rsidRDefault="00F0427E" w:rsidP="00F0427E">
      <w:pPr>
        <w:spacing w:before="100" w:beforeAutospacing="1" w:after="100" w:afterAutospacing="1"/>
        <w:ind w:left="709" w:hanging="709"/>
        <w:jc w:val="both"/>
        <w:rPr>
          <w:rFonts w:ascii="Times New Roman" w:hAnsi="Times New Roman" w:cs="Times New Roman"/>
          <w:sz w:val="20"/>
          <w:szCs w:val="20"/>
        </w:rPr>
      </w:pPr>
      <w:r w:rsidRPr="00BE6246">
        <w:t>(2)</w:t>
      </w:r>
      <w:r w:rsidRPr="00BE6246">
        <w:tab/>
      </w:r>
      <w:proofErr w:type="gramStart"/>
      <w:r w:rsidRPr="00BE6246">
        <w:t>why</w:t>
      </w:r>
      <w:proofErr w:type="gramEnd"/>
      <w:r w:rsidRPr="00BE6246">
        <w:t xml:space="preserve"> each town does not have its own ambulances that are vital in instances of emergency? </w:t>
      </w:r>
      <w:r w:rsidRPr="00676945">
        <w:rPr>
          <w:rFonts w:ascii="Times New Roman" w:hAnsi="Times New Roman" w:cs="Times New Roman"/>
          <w:sz w:val="20"/>
          <w:szCs w:val="20"/>
        </w:rPr>
        <w:t>CW240E</w:t>
      </w:r>
    </w:p>
    <w:p w:rsidR="00F0427E" w:rsidRDefault="00F0427E" w:rsidP="00F0427E">
      <w:pPr>
        <w:pStyle w:val="EndnoteText"/>
        <w:rPr>
          <w:rFonts w:ascii="Arial" w:hAnsi="Arial" w:cs="Arial"/>
          <w:b/>
          <w:sz w:val="24"/>
          <w:szCs w:val="24"/>
          <w:u w:val="single"/>
        </w:rPr>
      </w:pPr>
    </w:p>
    <w:p w:rsidR="00F0427E" w:rsidRPr="00BE6246" w:rsidRDefault="00F0427E" w:rsidP="00F0427E">
      <w:pPr>
        <w:pStyle w:val="EndnoteText"/>
        <w:rPr>
          <w:rFonts w:ascii="Arial" w:hAnsi="Arial" w:cs="Arial"/>
          <w:b/>
          <w:sz w:val="24"/>
          <w:szCs w:val="24"/>
          <w:u w:val="single"/>
        </w:rPr>
      </w:pPr>
      <w:r w:rsidRPr="00BE6246">
        <w:rPr>
          <w:rFonts w:ascii="Arial" w:hAnsi="Arial" w:cs="Arial"/>
          <w:b/>
          <w:sz w:val="24"/>
          <w:szCs w:val="24"/>
          <w:u w:val="single"/>
        </w:rPr>
        <w:t>REPLY:</w:t>
      </w: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pStyle w:val="EndnoteText"/>
        <w:rPr>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0001</w:t>
      </w:r>
    </w:p>
    <w:p w:rsidR="00F0427E" w:rsidRDefault="00F0427E" w:rsidP="00F0427E">
      <w:pPr>
        <w:rPr>
          <w:rFonts w:ascii="Arial Narrow" w:hAnsi="Arial Narrow" w:cs="Times New Roman"/>
          <w:b/>
          <w:color w:val="FF0000"/>
        </w:rPr>
      </w:pPr>
    </w:p>
    <w:p w:rsidR="00F0427E" w:rsidRPr="00BD1C47" w:rsidRDefault="00F0427E" w:rsidP="00F0427E">
      <w:pPr>
        <w:ind w:left="-6" w:firstLine="6"/>
        <w:rPr>
          <w:b/>
          <w:color w:val="000000" w:themeColor="text1"/>
          <w:u w:val="single"/>
        </w:rPr>
      </w:pPr>
      <w:r w:rsidRPr="00BD1C47">
        <w:rPr>
          <w:b/>
          <w:color w:val="000000" w:themeColor="text1"/>
          <w:u w:val="single"/>
        </w:rPr>
        <w:t xml:space="preserve">Dr K L Jacobs (ANC) to ask the Minister of Health: </w:t>
      </w:r>
    </w:p>
    <w:p w:rsidR="00F0427E" w:rsidRPr="00BD1C47" w:rsidRDefault="00F0427E" w:rsidP="00F0427E">
      <w:pPr>
        <w:ind w:left="709" w:hanging="709"/>
        <w:rPr>
          <w:color w:val="000000" w:themeColor="text1"/>
        </w:rPr>
      </w:pPr>
      <w:r w:rsidRPr="00BD1C47">
        <w:rPr>
          <w:color w:val="000000" w:themeColor="text1"/>
        </w:rPr>
        <w:t xml:space="preserve">(1) </w:t>
      </w:r>
      <w:r>
        <w:rPr>
          <w:color w:val="000000" w:themeColor="text1"/>
        </w:rPr>
        <w:tab/>
      </w:r>
      <w:r w:rsidRPr="00BD1C47">
        <w:rPr>
          <w:color w:val="000000" w:themeColor="text1"/>
        </w:rPr>
        <w:t>With regards to the Antimicrobial Resistance (AMR) being described as a global health emergency that will jeopardize progress in modern medicine, apart from South Africa’s contribution to the initial €56 million for the Global Antibiotic Research and Development Partnership in 2017, what other role does South Africa play in this structure;</w:t>
      </w:r>
    </w:p>
    <w:p w:rsidR="00F0427E" w:rsidRPr="00BD1C47" w:rsidRDefault="00F0427E" w:rsidP="00F0427E">
      <w:pPr>
        <w:ind w:left="709" w:hanging="709"/>
        <w:rPr>
          <w:color w:val="000000" w:themeColor="text1"/>
        </w:rPr>
      </w:pPr>
      <w:r w:rsidRPr="00BD1C47">
        <w:rPr>
          <w:color w:val="000000" w:themeColor="text1"/>
        </w:rPr>
        <w:t xml:space="preserve">(2) </w:t>
      </w:r>
      <w:r>
        <w:rPr>
          <w:color w:val="000000" w:themeColor="text1"/>
        </w:rPr>
        <w:tab/>
      </w:r>
      <w:r w:rsidRPr="00BD1C47">
        <w:rPr>
          <w:color w:val="000000" w:themeColor="text1"/>
        </w:rPr>
        <w:t>what progress has been made by the Global Antibiotic Research and Development Partnership since it was set up in 2017;</w:t>
      </w:r>
    </w:p>
    <w:p w:rsidR="00F0427E" w:rsidRPr="00BD1C47" w:rsidRDefault="00F0427E" w:rsidP="00F0427E">
      <w:pPr>
        <w:pStyle w:val="EndnoteText"/>
        <w:ind w:left="709" w:hanging="709"/>
        <w:rPr>
          <w:rFonts w:ascii="Arial" w:hAnsi="Arial" w:cs="Arial"/>
          <w:color w:val="000000" w:themeColor="text1"/>
          <w:sz w:val="24"/>
          <w:szCs w:val="24"/>
        </w:rPr>
      </w:pPr>
      <w:r w:rsidRPr="00BD1C47">
        <w:rPr>
          <w:rFonts w:ascii="Arial" w:hAnsi="Arial" w:cs="Arial"/>
          <w:color w:val="000000" w:themeColor="text1"/>
          <w:sz w:val="24"/>
          <w:szCs w:val="24"/>
        </w:rPr>
        <w:t xml:space="preserve">(3) </w:t>
      </w:r>
      <w:r>
        <w:rPr>
          <w:rFonts w:ascii="Arial" w:hAnsi="Arial" w:cs="Arial"/>
          <w:color w:val="000000" w:themeColor="text1"/>
          <w:sz w:val="24"/>
          <w:szCs w:val="24"/>
        </w:rPr>
        <w:tab/>
      </w:r>
      <w:proofErr w:type="gramStart"/>
      <w:r w:rsidRPr="00BD1C47">
        <w:rPr>
          <w:rFonts w:ascii="Arial" w:hAnsi="Arial" w:cs="Arial"/>
          <w:color w:val="000000" w:themeColor="text1"/>
          <w:sz w:val="24"/>
          <w:szCs w:val="24"/>
        </w:rPr>
        <w:t>has</w:t>
      </w:r>
      <w:proofErr w:type="gramEnd"/>
      <w:r w:rsidRPr="00BD1C47">
        <w:rPr>
          <w:rFonts w:ascii="Arial" w:hAnsi="Arial" w:cs="Arial"/>
          <w:color w:val="000000" w:themeColor="text1"/>
          <w:sz w:val="24"/>
          <w:szCs w:val="24"/>
        </w:rPr>
        <w:t xml:space="preserve"> South Africa tabled a country report to the World Health </w:t>
      </w:r>
      <w:proofErr w:type="spellStart"/>
      <w:r w:rsidRPr="00BD1C47">
        <w:rPr>
          <w:rFonts w:ascii="Arial" w:hAnsi="Arial" w:cs="Arial"/>
          <w:color w:val="000000" w:themeColor="text1"/>
          <w:sz w:val="24"/>
          <w:szCs w:val="24"/>
        </w:rPr>
        <w:t>Orgainsation</w:t>
      </w:r>
      <w:proofErr w:type="spellEnd"/>
      <w:r w:rsidRPr="00BD1C47">
        <w:rPr>
          <w:rFonts w:ascii="Arial" w:hAnsi="Arial" w:cs="Arial"/>
          <w:color w:val="000000" w:themeColor="text1"/>
          <w:sz w:val="24"/>
          <w:szCs w:val="24"/>
        </w:rPr>
        <w:t xml:space="preserve"> (WHO) on AMR; if so, (a) what are the pressing matters reported; and if not, (b) why not and how and where does South Africa report its surveillance on AMR?</w:t>
      </w:r>
    </w:p>
    <w:p w:rsidR="00F0427E" w:rsidRPr="00BD1C47" w:rsidRDefault="00F0427E" w:rsidP="00F0427E">
      <w:pPr>
        <w:pStyle w:val="EndnoteText"/>
        <w:rPr>
          <w:rFonts w:ascii="Arial" w:hAnsi="Arial" w:cs="Arial"/>
          <w:color w:val="000000" w:themeColor="text1"/>
          <w:sz w:val="24"/>
          <w:szCs w:val="24"/>
        </w:rPr>
      </w:pPr>
    </w:p>
    <w:p w:rsidR="00F0427E" w:rsidRDefault="00F0427E" w:rsidP="00F0427E">
      <w:pPr>
        <w:pStyle w:val="EndnoteText"/>
        <w:rPr>
          <w:sz w:val="24"/>
          <w:szCs w:val="24"/>
        </w:rPr>
      </w:pPr>
    </w:p>
    <w:p w:rsidR="00F0427E" w:rsidRPr="00BD1C47" w:rsidRDefault="00F0427E" w:rsidP="00F0427E">
      <w:pPr>
        <w:pStyle w:val="EndnoteText"/>
        <w:rPr>
          <w:rFonts w:ascii="Arial" w:hAnsi="Arial" w:cs="Arial"/>
          <w:b/>
          <w:sz w:val="24"/>
          <w:szCs w:val="24"/>
          <w:u w:val="single"/>
        </w:rPr>
      </w:pPr>
      <w:r w:rsidRPr="00BD1C47">
        <w:rPr>
          <w:rFonts w:ascii="Arial" w:hAnsi="Arial" w:cs="Arial"/>
          <w:b/>
          <w:sz w:val="24"/>
          <w:szCs w:val="24"/>
          <w:u w:val="single"/>
        </w:rPr>
        <w:t>REPLY:</w:t>
      </w: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Pr="00BD1C47"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pStyle w:val="EndnoteText"/>
        <w:rPr>
          <w:rFonts w:ascii="Arial" w:hAnsi="Arial" w:cs="Arial"/>
          <w:sz w:val="24"/>
          <w:szCs w:val="24"/>
        </w:rPr>
      </w:pPr>
    </w:p>
    <w:p w:rsidR="00F0427E" w:rsidRDefault="00F0427E" w:rsidP="00F0427E">
      <w:pPr>
        <w:rPr>
          <w:b/>
          <w:bCs/>
          <w:sz w:val="44"/>
          <w:szCs w:val="44"/>
          <w:u w:val="single"/>
        </w:rPr>
      </w:pPr>
      <w:r w:rsidRPr="00BE769F">
        <w:rPr>
          <w:b/>
          <w:bCs/>
          <w:sz w:val="44"/>
          <w:szCs w:val="44"/>
          <w:u w:val="single"/>
        </w:rPr>
        <w:t xml:space="preserve">QUESTION NO. </w:t>
      </w:r>
      <w:r>
        <w:rPr>
          <w:b/>
          <w:bCs/>
          <w:sz w:val="44"/>
          <w:szCs w:val="44"/>
          <w:u w:val="single"/>
        </w:rPr>
        <w:t>0002</w:t>
      </w:r>
    </w:p>
    <w:p w:rsidR="00F0427E" w:rsidRDefault="00F0427E" w:rsidP="00F0427E">
      <w:pPr>
        <w:rPr>
          <w:rFonts w:ascii="Arial Narrow" w:hAnsi="Arial Narrow" w:cs="Times New Roman"/>
          <w:b/>
          <w:color w:val="FF0000"/>
        </w:rPr>
      </w:pPr>
    </w:p>
    <w:p w:rsidR="00F0427E" w:rsidRDefault="00F0427E" w:rsidP="00F0427E">
      <w:pPr>
        <w:pStyle w:val="EndnoteText"/>
        <w:rPr>
          <w:rFonts w:ascii="Arial" w:hAnsi="Arial" w:cs="Arial"/>
          <w:b/>
          <w:color w:val="000000" w:themeColor="text1"/>
          <w:sz w:val="24"/>
          <w:szCs w:val="24"/>
          <w:u w:val="single"/>
        </w:rPr>
      </w:pPr>
      <w:r>
        <w:rPr>
          <w:rFonts w:ascii="Arial" w:hAnsi="Arial" w:cs="Arial"/>
          <w:b/>
          <w:color w:val="000000" w:themeColor="text1"/>
          <w:sz w:val="24"/>
          <w:szCs w:val="24"/>
          <w:u w:val="single"/>
        </w:rPr>
        <w:t>Ms A Gela</w:t>
      </w:r>
      <w:r w:rsidRPr="00BD1C47">
        <w:rPr>
          <w:rFonts w:ascii="Arial" w:hAnsi="Arial" w:cs="Arial"/>
          <w:b/>
          <w:color w:val="000000" w:themeColor="text1"/>
          <w:sz w:val="24"/>
          <w:szCs w:val="24"/>
          <w:u w:val="single"/>
        </w:rPr>
        <w:t xml:space="preserve"> (ANC) to ask the Minister of Health:</w:t>
      </w:r>
    </w:p>
    <w:p w:rsidR="00F0427E" w:rsidRDefault="00F0427E" w:rsidP="00F0427E">
      <w:pPr>
        <w:pStyle w:val="EndnoteText"/>
        <w:rPr>
          <w:rFonts w:ascii="Arial" w:hAnsi="Arial" w:cs="Arial"/>
          <w:b/>
          <w:color w:val="000000" w:themeColor="text1"/>
          <w:sz w:val="24"/>
          <w:szCs w:val="24"/>
          <w:u w:val="single"/>
        </w:rPr>
      </w:pPr>
    </w:p>
    <w:p w:rsidR="00F0427E" w:rsidRPr="00BD1C47" w:rsidRDefault="00F0427E" w:rsidP="00F0427E">
      <w:pPr>
        <w:jc w:val="both"/>
        <w:rPr>
          <w:b/>
          <w:u w:val="single"/>
        </w:rPr>
      </w:pPr>
      <w:r w:rsidRPr="00BD1C47">
        <w:rPr>
          <w:color w:val="000000" w:themeColor="text1"/>
        </w:rPr>
        <w:t>With reference to the Reply to Question 704 on the 15 May 2021 (details furnished), in particular with regards to the number of students indicated in tables 1 and 2; (a) is the information in these tables complete; if not, (</w:t>
      </w:r>
      <w:proofErr w:type="spellStart"/>
      <w:r w:rsidRPr="00BD1C47">
        <w:rPr>
          <w:color w:val="000000" w:themeColor="text1"/>
        </w:rPr>
        <w:t>i</w:t>
      </w:r>
      <w:proofErr w:type="spellEnd"/>
      <w:r w:rsidRPr="00BD1C47">
        <w:rPr>
          <w:color w:val="000000" w:themeColor="text1"/>
        </w:rPr>
        <w:t>) why not; if so, (ii) why is information missing from the Western Cape Province; (b) what are the reasons for the Western Cape Province not furnishing the information about students from that Province; (c) what plans is the Minister or government putting in place to ensure that the poor children of the Western Cape Province are also considered for this important initiative?</w:t>
      </w:r>
    </w:p>
    <w:p w:rsidR="00F0427E" w:rsidRDefault="00F0427E" w:rsidP="00F0427E">
      <w:pPr>
        <w:spacing w:line="360" w:lineRule="auto"/>
        <w:jc w:val="both"/>
        <w:rPr>
          <w:b/>
          <w:u w:val="single"/>
        </w:rPr>
      </w:pPr>
    </w:p>
    <w:p w:rsidR="00F0427E" w:rsidRDefault="00F0427E" w:rsidP="00F0427E">
      <w:pPr>
        <w:jc w:val="both"/>
        <w:rPr>
          <w:b/>
          <w:u w:val="single"/>
        </w:rPr>
      </w:pPr>
      <w:r w:rsidRPr="00BD1C47">
        <w:rPr>
          <w:b/>
          <w:u w:val="single"/>
        </w:rPr>
        <w:t>REPLY:</w:t>
      </w:r>
    </w:p>
    <w:p w:rsidR="00F0427E" w:rsidRPr="00BD1C47" w:rsidRDefault="00F0427E" w:rsidP="00F0427E">
      <w:pPr>
        <w:jc w:val="both"/>
        <w:rPr>
          <w:b/>
          <w:u w:val="single"/>
        </w:rPr>
      </w:pPr>
    </w:p>
    <w:p w:rsidR="00F0427E" w:rsidRDefault="00F0427E" w:rsidP="00B8050D">
      <w:pPr>
        <w:pStyle w:val="ListParagraph"/>
        <w:numPr>
          <w:ilvl w:val="0"/>
          <w:numId w:val="6"/>
        </w:numPr>
        <w:ind w:left="709" w:hanging="709"/>
        <w:contextualSpacing w:val="0"/>
        <w:jc w:val="both"/>
        <w:rPr>
          <w:sz w:val="24"/>
        </w:rPr>
      </w:pPr>
      <w:r w:rsidRPr="00BD1C47">
        <w:rPr>
          <w:sz w:val="24"/>
        </w:rPr>
        <w:t>Yes, information indicated in Table 1 and 2 is complete.</w:t>
      </w:r>
    </w:p>
    <w:p w:rsidR="00F0427E" w:rsidRPr="00BD1C47" w:rsidRDefault="00F0427E" w:rsidP="00F0427E">
      <w:pPr>
        <w:pStyle w:val="ListParagraph"/>
        <w:ind w:left="709" w:hanging="709"/>
        <w:contextualSpacing w:val="0"/>
        <w:jc w:val="both"/>
        <w:rPr>
          <w:sz w:val="24"/>
        </w:rPr>
      </w:pPr>
    </w:p>
    <w:p w:rsidR="00F0427E" w:rsidRDefault="00F0427E" w:rsidP="00F0427E">
      <w:pPr>
        <w:pStyle w:val="ListParagraph"/>
        <w:ind w:left="1418" w:hanging="709"/>
        <w:jc w:val="both"/>
        <w:rPr>
          <w:sz w:val="24"/>
        </w:rPr>
      </w:pPr>
      <w:r w:rsidRPr="00BD1C47">
        <w:rPr>
          <w:sz w:val="24"/>
        </w:rPr>
        <w:t xml:space="preserve">(ii) </w:t>
      </w:r>
      <w:r>
        <w:rPr>
          <w:sz w:val="24"/>
        </w:rPr>
        <w:tab/>
      </w:r>
      <w:r w:rsidRPr="00BD1C47">
        <w:rPr>
          <w:sz w:val="24"/>
        </w:rPr>
        <w:t xml:space="preserve">The information is for eight (8) Departments of Health in the provinces participating in the Programme except for the Western Cape </w:t>
      </w:r>
      <w:proofErr w:type="gramStart"/>
      <w:r w:rsidRPr="00BD1C47">
        <w:rPr>
          <w:sz w:val="24"/>
        </w:rPr>
        <w:t>province</w:t>
      </w:r>
      <w:proofErr w:type="gramEnd"/>
      <w:r w:rsidRPr="00BD1C47">
        <w:rPr>
          <w:sz w:val="24"/>
        </w:rPr>
        <w:t>.</w:t>
      </w:r>
    </w:p>
    <w:p w:rsidR="00F0427E" w:rsidRPr="00BD1C47" w:rsidRDefault="00F0427E" w:rsidP="00F0427E">
      <w:pPr>
        <w:pStyle w:val="ListParagraph"/>
        <w:ind w:left="709" w:hanging="709"/>
        <w:jc w:val="both"/>
        <w:rPr>
          <w:sz w:val="24"/>
        </w:rPr>
      </w:pPr>
    </w:p>
    <w:p w:rsidR="00F0427E" w:rsidRDefault="00F0427E" w:rsidP="00B8050D">
      <w:pPr>
        <w:pStyle w:val="ListParagraph"/>
        <w:numPr>
          <w:ilvl w:val="0"/>
          <w:numId w:val="6"/>
        </w:numPr>
        <w:ind w:left="709" w:hanging="709"/>
        <w:contextualSpacing w:val="0"/>
        <w:jc w:val="both"/>
        <w:rPr>
          <w:sz w:val="24"/>
        </w:rPr>
      </w:pPr>
      <w:r w:rsidRPr="00BD1C47">
        <w:rPr>
          <w:sz w:val="24"/>
        </w:rPr>
        <w:t>The Western Cape Department of Health has no information because it is not participating in the Nelson Mandela Fidel Castro Collaboration Programme.</w:t>
      </w:r>
    </w:p>
    <w:p w:rsidR="00F0427E" w:rsidRDefault="00F0427E" w:rsidP="00F0427E">
      <w:pPr>
        <w:pStyle w:val="ListParagraph"/>
        <w:ind w:left="709" w:hanging="709"/>
        <w:contextualSpacing w:val="0"/>
        <w:jc w:val="both"/>
        <w:rPr>
          <w:sz w:val="24"/>
        </w:rPr>
      </w:pPr>
    </w:p>
    <w:p w:rsidR="00F0427E" w:rsidRDefault="00F0427E" w:rsidP="00B8050D">
      <w:pPr>
        <w:pStyle w:val="ListParagraph"/>
        <w:numPr>
          <w:ilvl w:val="0"/>
          <w:numId w:val="6"/>
        </w:numPr>
        <w:ind w:left="709" w:hanging="709"/>
        <w:contextualSpacing w:val="0"/>
        <w:jc w:val="both"/>
        <w:rPr>
          <w:sz w:val="24"/>
        </w:rPr>
      </w:pPr>
      <w:r w:rsidRPr="00BD1C47">
        <w:rPr>
          <w:sz w:val="24"/>
        </w:rPr>
        <w:t>Provincial Departments of Health fund the Nelson Mandela Fidel Castro Medical Collaboration Programme. None participation of the Western Cape Department of Health in the Nelson Mandela Fidel Castro Collaboration Programme precluded the poor prospective students from benefitting from this important initiative</w:t>
      </w:r>
    </w:p>
    <w:p w:rsidR="00F0427E" w:rsidRPr="00E85032" w:rsidRDefault="00F0427E" w:rsidP="00F0427E">
      <w:pPr>
        <w:pStyle w:val="ListParagraph"/>
        <w:rPr>
          <w:sz w:val="24"/>
        </w:rPr>
      </w:pPr>
    </w:p>
    <w:p w:rsidR="00F0427E" w:rsidRPr="00E85032" w:rsidRDefault="00F0427E" w:rsidP="00F0427E">
      <w:pPr>
        <w:jc w:val="both"/>
      </w:pPr>
      <w:r>
        <w:t>END.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2E7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2E7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D2B5B">
      <w:rPr>
        <w:rStyle w:val="PageNumber"/>
        <w:noProof/>
        <w:lang w:val="en-US"/>
      </w:rPr>
      <w:t>16</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14" w:rsidRDefault="00B47314">
      <w:r>
        <w:separator/>
      </w:r>
    </w:p>
  </w:footnote>
  <w:footnote w:type="continuationSeparator" w:id="0">
    <w:p w:rsidR="00B47314" w:rsidRDefault="00B47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241077"/>
    <w:multiLevelType w:val="hybridMultilevel"/>
    <w:tmpl w:val="E17CD594"/>
    <w:lvl w:ilvl="0" w:tplc="69705EA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845D72"/>
    <w:multiLevelType w:val="hybridMultilevel"/>
    <w:tmpl w:val="3850E262"/>
    <w:lvl w:ilvl="0" w:tplc="5FAA719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C188E"/>
    <w:multiLevelType w:val="multilevel"/>
    <w:tmpl w:val="69289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30CC4"/>
    <w:multiLevelType w:val="hybridMultilevel"/>
    <w:tmpl w:val="3D7C1CB6"/>
    <w:lvl w:ilvl="0" w:tplc="9AB6CD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4"/>
  </w:num>
  <w:num w:numId="4">
    <w:abstractNumId w:val="1"/>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2B5B"/>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2E7D"/>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47314"/>
    <w:rsid w:val="00B519E0"/>
    <w:rsid w:val="00B561F9"/>
    <w:rsid w:val="00B6102B"/>
    <w:rsid w:val="00B612C9"/>
    <w:rsid w:val="00B6157A"/>
    <w:rsid w:val="00B61A27"/>
    <w:rsid w:val="00B63222"/>
    <w:rsid w:val="00B63926"/>
    <w:rsid w:val="00B64EBD"/>
    <w:rsid w:val="00B653C4"/>
    <w:rsid w:val="00B8050D"/>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427E"/>
    <w:rsid w:val="00F068CE"/>
    <w:rsid w:val="00F07923"/>
    <w:rsid w:val="00F14236"/>
    <w:rsid w:val="00F20A7C"/>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Default">
    <w:name w:val="Default"/>
    <w:rsid w:val="00F0427E"/>
    <w:pPr>
      <w:autoSpaceDE w:val="0"/>
      <w:autoSpaceDN w:val="0"/>
      <w:adjustRightInd w:val="0"/>
    </w:pPr>
    <w:rPr>
      <w:rFonts w:ascii="Arial" w:eastAsiaTheme="minorHAnsi" w:hAnsi="Arial" w:cs="Arial"/>
      <w:color w:val="000000"/>
      <w:sz w:val="24"/>
      <w:szCs w:val="24"/>
      <w:lang w:eastAsia="en-US"/>
    </w:rPr>
  </w:style>
  <w:style w:type="paragraph" w:styleId="EndnoteText">
    <w:name w:val="endnote text"/>
    <w:basedOn w:val="Normal"/>
    <w:link w:val="EndnoteTextChar"/>
    <w:uiPriority w:val="99"/>
    <w:semiHidden/>
    <w:unhideWhenUsed/>
    <w:rsid w:val="00F0427E"/>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F0427E"/>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F0427E"/>
    <w:rPr>
      <w:vertAlign w:val="superscript"/>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2022-05-11T08:26:00Z</dcterms:created>
  <dcterms:modified xsi:type="dcterms:W3CDTF">2022-05-11T08:26:00Z</dcterms:modified>
</cp:coreProperties>
</file>