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B505C5"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7048885"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907F7" w:rsidRPr="00A907F7" w:rsidRDefault="00A907F7" w:rsidP="00A907F7">
      <w:pPr>
        <w:spacing w:before="100" w:beforeAutospacing="1" w:after="100" w:afterAutospacing="1"/>
        <w:ind w:left="720" w:hanging="720"/>
        <w:jc w:val="both"/>
        <w:outlineLvl w:val="0"/>
        <w:rPr>
          <w:rFonts w:ascii="Arial" w:hAnsi="Arial" w:cs="Arial"/>
          <w:b/>
          <w:noProof/>
          <w:lang w:val="af-ZA"/>
        </w:rPr>
      </w:pPr>
      <w:r w:rsidRPr="00A907F7">
        <w:rPr>
          <w:rFonts w:ascii="Arial" w:hAnsi="Arial" w:cs="Arial"/>
          <w:b/>
          <w:noProof/>
          <w:lang w:val="af-ZA"/>
        </w:rPr>
        <w:t>1322.</w:t>
      </w:r>
      <w:r w:rsidRPr="00A907F7">
        <w:rPr>
          <w:rFonts w:ascii="Arial" w:hAnsi="Arial" w:cs="Arial"/>
          <w:b/>
          <w:noProof/>
          <w:lang w:val="af-ZA"/>
        </w:rPr>
        <w:tab/>
        <w:t>Mr S J F Marais (DA) to ask the Minister of Defence and Military Veterans</w:t>
      </w:r>
      <w:r w:rsidRPr="00A907F7">
        <w:rPr>
          <w:rFonts w:ascii="Arial" w:hAnsi="Arial" w:cs="Arial"/>
          <w:b/>
          <w:noProof/>
          <w:lang w:val="af-ZA"/>
        </w:rPr>
        <w:fldChar w:fldCharType="begin"/>
      </w:r>
      <w:r w:rsidRPr="00A907F7">
        <w:rPr>
          <w:rFonts w:ascii="Arial" w:hAnsi="Arial" w:cs="Arial"/>
        </w:rPr>
        <w:instrText xml:space="preserve"> XE "</w:instrText>
      </w:r>
      <w:r w:rsidRPr="00A907F7">
        <w:rPr>
          <w:rFonts w:ascii="Arial" w:hAnsi="Arial" w:cs="Arial"/>
          <w:b/>
          <w:bCs/>
          <w:lang w:val="en-US"/>
        </w:rPr>
        <w:instrText xml:space="preserve">Defence and Military </w:instrText>
      </w:r>
      <w:r w:rsidRPr="00A907F7">
        <w:rPr>
          <w:rFonts w:ascii="Arial" w:hAnsi="Arial" w:cs="Arial"/>
          <w:b/>
          <w:lang w:val="en-US"/>
        </w:rPr>
        <w:instrText>Veterans</w:instrText>
      </w:r>
      <w:r w:rsidRPr="00A907F7">
        <w:rPr>
          <w:rFonts w:ascii="Arial" w:hAnsi="Arial" w:cs="Arial"/>
        </w:rPr>
        <w:instrText xml:space="preserve">" </w:instrText>
      </w:r>
      <w:r w:rsidRPr="00A907F7">
        <w:rPr>
          <w:rFonts w:ascii="Arial" w:hAnsi="Arial" w:cs="Arial"/>
          <w:b/>
          <w:noProof/>
          <w:lang w:val="af-ZA"/>
        </w:rPr>
        <w:fldChar w:fldCharType="end"/>
      </w:r>
      <w:r w:rsidRPr="00A907F7">
        <w:rPr>
          <w:rFonts w:ascii="Arial" w:hAnsi="Arial" w:cs="Arial"/>
          <w:b/>
          <w:noProof/>
          <w:lang w:val="af-ZA"/>
        </w:rPr>
        <w:t>:</w:t>
      </w:r>
    </w:p>
    <w:p w:rsidR="00A907F7" w:rsidRPr="00A907F7" w:rsidRDefault="00A907F7" w:rsidP="00A907F7">
      <w:pPr>
        <w:spacing w:before="100" w:beforeAutospacing="1" w:after="100" w:afterAutospacing="1"/>
        <w:ind w:left="720"/>
        <w:jc w:val="both"/>
        <w:outlineLvl w:val="0"/>
        <w:rPr>
          <w:rFonts w:ascii="Arial" w:hAnsi="Arial" w:cs="Arial"/>
        </w:rPr>
      </w:pPr>
      <w:r w:rsidRPr="00A907F7">
        <w:rPr>
          <w:rFonts w:ascii="Arial" w:hAnsi="Arial" w:cs="Arial"/>
        </w:rPr>
        <w:t>In view of the fact that the National Treasury only approved a budget of R50 billion against a Defence Review driven budget requirement of R80 billion (details furnished), how does she account for the R1 billion already spent from the defence budget on the Cuban mechanics, known as Project Thusano, while it is common knowledge that the technical skills were available in the Republic and it was an ideal catalyst for the intake, job creation and providing of much-needed technical skills to young soldiers, thus adding to reducing the unemployment in the Republic and upskilling the soldiers of the SA National Defence Force</w:t>
      </w:r>
      <w:r w:rsidRPr="00A907F7">
        <w:rPr>
          <w:rFonts w:ascii="Arial" w:hAnsi="Arial" w:cs="Arial"/>
          <w:noProof/>
          <w:lang w:val="af-ZA"/>
        </w:rPr>
        <w:t>?</w:t>
      </w:r>
      <w:r w:rsidRPr="00A907F7">
        <w:rPr>
          <w:rFonts w:ascii="Arial" w:hAnsi="Arial" w:cs="Arial"/>
          <w:noProof/>
          <w:lang w:val="af-ZA"/>
        </w:rPr>
        <w:tab/>
      </w:r>
      <w:r w:rsidRPr="00A907F7">
        <w:rPr>
          <w:rFonts w:ascii="Arial" w:hAnsi="Arial" w:cs="Arial"/>
          <w:noProof/>
          <w:lang w:val="af-ZA"/>
        </w:rPr>
        <w:tab/>
      </w:r>
      <w:r w:rsidRPr="00A907F7">
        <w:rPr>
          <w:rFonts w:ascii="Arial" w:hAnsi="Arial" w:cs="Arial"/>
          <w:noProof/>
          <w:lang w:val="af-ZA"/>
        </w:rPr>
        <w:tab/>
      </w:r>
      <w:r w:rsidRPr="00A907F7">
        <w:rPr>
          <w:rFonts w:ascii="Arial" w:hAnsi="Arial" w:cs="Arial"/>
          <w:noProof/>
          <w:lang w:val="af-ZA"/>
        </w:rPr>
        <w:tab/>
      </w:r>
      <w:r w:rsidRPr="00A907F7">
        <w:rPr>
          <w:rFonts w:ascii="Arial" w:hAnsi="Arial" w:cs="Arial"/>
          <w:noProof/>
          <w:lang w:val="af-ZA"/>
        </w:rPr>
        <w:tab/>
      </w:r>
      <w:r w:rsidRPr="00A907F7">
        <w:rPr>
          <w:rFonts w:ascii="Arial" w:hAnsi="Arial" w:cs="Arial"/>
          <w:noProof/>
          <w:lang w:val="af-ZA"/>
        </w:rPr>
        <w:tab/>
      </w:r>
      <w:r w:rsidRPr="00A907F7">
        <w:rPr>
          <w:rFonts w:ascii="Arial" w:hAnsi="Arial" w:cs="Arial"/>
          <w:noProof/>
          <w:lang w:val="af-ZA"/>
        </w:rPr>
        <w:tab/>
        <w:t>NW2534E</w:t>
      </w:r>
    </w:p>
    <w:p w:rsidR="00480164" w:rsidRPr="00480164" w:rsidRDefault="00480164" w:rsidP="00480164">
      <w:pPr>
        <w:rPr>
          <w:rFonts w:ascii="Arial" w:eastAsia="Calibri" w:hAnsi="Arial" w:cs="Arial"/>
          <w:lang w:val="en-ZA"/>
        </w:rPr>
      </w:pPr>
      <w:r w:rsidRPr="00480164">
        <w:rPr>
          <w:rFonts w:ascii="Arial" w:eastAsia="Calibri" w:hAnsi="Arial" w:cs="Arial"/>
          <w:b/>
          <w:lang w:val="en-ZA"/>
        </w:rPr>
        <w:t>REPLY</w:t>
      </w:r>
      <w:r w:rsidRPr="00480164">
        <w:rPr>
          <w:rFonts w:ascii="Arial" w:eastAsia="Calibri" w:hAnsi="Arial" w:cs="Arial"/>
          <w:lang w:val="en-ZA"/>
        </w:rPr>
        <w:t>:</w:t>
      </w:r>
    </w:p>
    <w:p w:rsidR="00480164" w:rsidRPr="00480164" w:rsidRDefault="00480164" w:rsidP="00480164">
      <w:pPr>
        <w:rPr>
          <w:rFonts w:ascii="Arial" w:eastAsia="Calibri" w:hAnsi="Arial" w:cs="Arial"/>
          <w:highlight w:val="yellow"/>
          <w:lang w:val="en-ZA"/>
        </w:rPr>
      </w:pPr>
    </w:p>
    <w:p w:rsidR="00480164" w:rsidRPr="00480164" w:rsidRDefault="00480164" w:rsidP="00480164">
      <w:pPr>
        <w:pStyle w:val="ListParagraph"/>
        <w:numPr>
          <w:ilvl w:val="0"/>
          <w:numId w:val="47"/>
        </w:numPr>
        <w:spacing w:before="60" w:line="360" w:lineRule="auto"/>
        <w:ind w:left="709" w:hanging="709"/>
        <w:contextualSpacing w:val="0"/>
        <w:jc w:val="both"/>
        <w:rPr>
          <w:rFonts w:ascii="Arial" w:hAnsi="Arial" w:cs="Arial"/>
        </w:rPr>
      </w:pPr>
      <w:r w:rsidRPr="00480164">
        <w:rPr>
          <w:rFonts w:ascii="Arial" w:hAnsi="Arial" w:cs="Arial"/>
        </w:rPr>
        <w:t xml:space="preserve">The figures as indicated above are inaccurate.  The expenditure on Project Thusano is as indicated in the table below per financial year: </w:t>
      </w:r>
    </w:p>
    <w:p w:rsidR="00480164" w:rsidRPr="00480164" w:rsidRDefault="00480164" w:rsidP="00480164">
      <w:pPr>
        <w:pStyle w:val="ListParagraph"/>
        <w:spacing w:before="60"/>
        <w:ind w:left="709"/>
        <w:jc w:val="both"/>
        <w:rPr>
          <w:rFonts w:ascii="Arial" w:hAnsi="Arial" w:cs="Arial"/>
        </w:rPr>
      </w:pPr>
      <w:r w:rsidRPr="00480164">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310"/>
        <w:gridCol w:w="4368"/>
      </w:tblGrid>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r w:rsidRPr="00480164">
              <w:rPr>
                <w:rFonts w:ascii="Arial" w:hAnsi="Arial" w:cs="Arial"/>
                <w:b/>
                <w:sz w:val="22"/>
                <w:szCs w:val="22"/>
              </w:rPr>
              <w:t>Ser No</w:t>
            </w:r>
          </w:p>
        </w:tc>
        <w:tc>
          <w:tcPr>
            <w:tcW w:w="2504"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r w:rsidRPr="00480164">
              <w:rPr>
                <w:rFonts w:ascii="Arial" w:hAnsi="Arial" w:cs="Arial"/>
                <w:b/>
                <w:sz w:val="22"/>
                <w:szCs w:val="22"/>
              </w:rPr>
              <w:t>Financial Year</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r w:rsidRPr="00480164">
              <w:rPr>
                <w:rFonts w:ascii="Arial" w:hAnsi="Arial" w:cs="Arial"/>
                <w:b/>
                <w:sz w:val="22"/>
                <w:szCs w:val="22"/>
              </w:rPr>
              <w:t>Amount Spent</w:t>
            </w:r>
          </w:p>
        </w:tc>
      </w:tr>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p>
        </w:tc>
        <w:tc>
          <w:tcPr>
            <w:tcW w:w="2504"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r w:rsidRPr="00480164">
              <w:rPr>
                <w:rFonts w:ascii="Arial" w:hAnsi="Arial" w:cs="Arial"/>
                <w:b/>
                <w:sz w:val="22"/>
                <w:szCs w:val="22"/>
              </w:rPr>
              <w:t>a</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r w:rsidRPr="00480164">
              <w:rPr>
                <w:rFonts w:ascii="Arial" w:hAnsi="Arial" w:cs="Arial"/>
                <w:b/>
                <w:sz w:val="22"/>
                <w:szCs w:val="22"/>
              </w:rPr>
              <w:t>b</w:t>
            </w:r>
          </w:p>
        </w:tc>
      </w:tr>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1</w:t>
            </w:r>
          </w:p>
        </w:tc>
        <w:tc>
          <w:tcPr>
            <w:tcW w:w="2504"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2015/16</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R6 Million</w:t>
            </w:r>
          </w:p>
        </w:tc>
      </w:tr>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2</w:t>
            </w:r>
          </w:p>
        </w:tc>
        <w:tc>
          <w:tcPr>
            <w:tcW w:w="2504"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2016/17</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R144 Million</w:t>
            </w:r>
          </w:p>
        </w:tc>
      </w:tr>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3</w:t>
            </w:r>
          </w:p>
        </w:tc>
        <w:tc>
          <w:tcPr>
            <w:tcW w:w="2504"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2017/18</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R163 Million</w:t>
            </w:r>
          </w:p>
        </w:tc>
      </w:tr>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4</w:t>
            </w:r>
          </w:p>
        </w:tc>
        <w:tc>
          <w:tcPr>
            <w:tcW w:w="2504"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2018/19</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R261 Million</w:t>
            </w:r>
          </w:p>
        </w:tc>
      </w:tr>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5</w:t>
            </w:r>
          </w:p>
        </w:tc>
        <w:tc>
          <w:tcPr>
            <w:tcW w:w="2504"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2019/20</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r w:rsidRPr="00480164">
              <w:rPr>
                <w:rFonts w:ascii="Arial" w:hAnsi="Arial" w:cs="Arial"/>
                <w:sz w:val="22"/>
                <w:szCs w:val="22"/>
              </w:rPr>
              <w:t>R25 Million</w:t>
            </w:r>
          </w:p>
        </w:tc>
      </w:tr>
      <w:tr w:rsidR="00480164" w:rsidRPr="00480164" w:rsidTr="00236779">
        <w:tc>
          <w:tcPr>
            <w:tcW w:w="1089" w:type="dxa"/>
            <w:shd w:val="clear" w:color="auto" w:fill="auto"/>
          </w:tcPr>
          <w:p w:rsidR="00480164" w:rsidRPr="00480164" w:rsidRDefault="00480164" w:rsidP="00236779">
            <w:pPr>
              <w:pStyle w:val="ListParagraph"/>
              <w:spacing w:before="60"/>
              <w:ind w:left="0"/>
              <w:jc w:val="center"/>
              <w:rPr>
                <w:rFonts w:ascii="Arial" w:hAnsi="Arial" w:cs="Arial"/>
                <w:sz w:val="22"/>
                <w:szCs w:val="22"/>
              </w:rPr>
            </w:pPr>
          </w:p>
        </w:tc>
        <w:tc>
          <w:tcPr>
            <w:tcW w:w="2504"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r w:rsidRPr="00480164">
              <w:rPr>
                <w:rFonts w:ascii="Arial" w:hAnsi="Arial" w:cs="Arial"/>
                <w:b/>
                <w:sz w:val="22"/>
                <w:szCs w:val="22"/>
              </w:rPr>
              <w:t xml:space="preserve">Total </w:t>
            </w:r>
            <w:bookmarkStart w:id="0" w:name="_GoBack"/>
            <w:bookmarkEnd w:id="0"/>
            <w:r w:rsidRPr="00480164">
              <w:rPr>
                <w:rFonts w:ascii="Arial" w:hAnsi="Arial" w:cs="Arial"/>
                <w:b/>
                <w:sz w:val="22"/>
                <w:szCs w:val="22"/>
              </w:rPr>
              <w:t>Expenditure</w:t>
            </w:r>
          </w:p>
        </w:tc>
        <w:tc>
          <w:tcPr>
            <w:tcW w:w="5151" w:type="dxa"/>
            <w:shd w:val="clear" w:color="auto" w:fill="auto"/>
          </w:tcPr>
          <w:p w:rsidR="00480164" w:rsidRPr="00480164" w:rsidRDefault="00480164" w:rsidP="00236779">
            <w:pPr>
              <w:pStyle w:val="ListParagraph"/>
              <w:spacing w:before="60"/>
              <w:ind w:left="0"/>
              <w:jc w:val="center"/>
              <w:rPr>
                <w:rFonts w:ascii="Arial" w:hAnsi="Arial" w:cs="Arial"/>
                <w:b/>
                <w:sz w:val="22"/>
                <w:szCs w:val="22"/>
              </w:rPr>
            </w:pPr>
            <w:r w:rsidRPr="00480164">
              <w:rPr>
                <w:rFonts w:ascii="Arial" w:hAnsi="Arial" w:cs="Arial"/>
                <w:b/>
                <w:sz w:val="22"/>
                <w:szCs w:val="22"/>
              </w:rPr>
              <w:t>R599 Million</w:t>
            </w:r>
          </w:p>
        </w:tc>
      </w:tr>
    </w:tbl>
    <w:p w:rsidR="00480164" w:rsidRPr="00480164" w:rsidRDefault="00480164" w:rsidP="00480164">
      <w:pPr>
        <w:pStyle w:val="ListParagraph"/>
        <w:rPr>
          <w:rFonts w:ascii="Arial" w:hAnsi="Arial" w:cs="Arial"/>
        </w:rPr>
      </w:pPr>
    </w:p>
    <w:p w:rsidR="00480164" w:rsidRPr="00480164" w:rsidRDefault="00480164" w:rsidP="00480164">
      <w:pPr>
        <w:pStyle w:val="ListParagraph"/>
        <w:numPr>
          <w:ilvl w:val="0"/>
          <w:numId w:val="47"/>
        </w:numPr>
        <w:spacing w:line="360" w:lineRule="auto"/>
        <w:ind w:left="709" w:hanging="709"/>
        <w:contextualSpacing w:val="0"/>
        <w:jc w:val="both"/>
        <w:rPr>
          <w:rFonts w:ascii="Arial" w:hAnsi="Arial" w:cs="Arial"/>
        </w:rPr>
      </w:pPr>
      <w:r w:rsidRPr="00480164">
        <w:rPr>
          <w:rFonts w:ascii="Arial" w:hAnsi="Arial" w:cs="Arial"/>
        </w:rPr>
        <w:t xml:space="preserve">The total expenditure of R599 million, minus the planned expenditure of R229 million over five years on the initial contract terms equals to R370 million.  This is an insignificant escalation compared to savings and recovered funds over five years. </w:t>
      </w:r>
    </w:p>
    <w:p w:rsidR="00480164" w:rsidRPr="00480164" w:rsidRDefault="00480164" w:rsidP="00480164">
      <w:pPr>
        <w:pStyle w:val="ListParagraph"/>
        <w:ind w:left="709"/>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0"/>
          <w:numId w:val="47"/>
        </w:numPr>
        <w:spacing w:line="360" w:lineRule="auto"/>
        <w:ind w:left="709" w:hanging="709"/>
        <w:contextualSpacing w:val="0"/>
        <w:jc w:val="both"/>
        <w:rPr>
          <w:rFonts w:ascii="Arial" w:hAnsi="Arial" w:cs="Arial"/>
        </w:rPr>
      </w:pPr>
      <w:r w:rsidRPr="00480164">
        <w:rPr>
          <w:rFonts w:ascii="Arial" w:hAnsi="Arial" w:cs="Arial"/>
        </w:rPr>
        <w:t xml:space="preserve">It is estimated that the Department of Defence (DOD) will save R1, 9 billion, plus R192 million (10% inflation), that equals to R2.1 billion over the period of five years of the contract, excluding the costs of, amongst others:  </w:t>
      </w:r>
    </w:p>
    <w:p w:rsidR="00480164" w:rsidRPr="00480164" w:rsidRDefault="00480164" w:rsidP="00480164">
      <w:pPr>
        <w:pStyle w:val="ListParagraph"/>
        <w:ind w:left="709"/>
        <w:jc w:val="both"/>
        <w:rPr>
          <w:rFonts w:ascii="Arial" w:hAnsi="Arial" w:cs="Arial"/>
        </w:rPr>
      </w:pPr>
    </w:p>
    <w:p w:rsidR="00480164" w:rsidRPr="00480164" w:rsidRDefault="00480164" w:rsidP="00480164">
      <w:pPr>
        <w:pStyle w:val="ListParagraph"/>
        <w:numPr>
          <w:ilvl w:val="1"/>
          <w:numId w:val="47"/>
        </w:numPr>
        <w:ind w:hanging="1871"/>
        <w:contextualSpacing w:val="0"/>
        <w:jc w:val="both"/>
        <w:rPr>
          <w:rFonts w:ascii="Arial" w:hAnsi="Arial" w:cs="Arial"/>
        </w:rPr>
      </w:pPr>
      <w:r w:rsidRPr="00480164">
        <w:rPr>
          <w:rFonts w:ascii="Arial" w:hAnsi="Arial" w:cs="Arial"/>
        </w:rPr>
        <w:t xml:space="preserve">labour; </w:t>
      </w:r>
    </w:p>
    <w:p w:rsidR="00480164" w:rsidRPr="00480164" w:rsidRDefault="00480164" w:rsidP="00480164">
      <w:pPr>
        <w:pStyle w:val="ListParagraph"/>
        <w:ind w:left="2580"/>
        <w:jc w:val="both"/>
        <w:rPr>
          <w:rFonts w:ascii="Arial" w:hAnsi="Arial" w:cs="Arial"/>
        </w:rPr>
      </w:pPr>
    </w:p>
    <w:p w:rsidR="00480164" w:rsidRPr="00480164" w:rsidRDefault="00480164" w:rsidP="00480164">
      <w:pPr>
        <w:pStyle w:val="ListParagraph"/>
        <w:numPr>
          <w:ilvl w:val="1"/>
          <w:numId w:val="47"/>
        </w:numPr>
        <w:ind w:hanging="1871"/>
        <w:contextualSpacing w:val="0"/>
        <w:jc w:val="both"/>
        <w:rPr>
          <w:rFonts w:ascii="Arial" w:hAnsi="Arial" w:cs="Arial"/>
        </w:rPr>
      </w:pPr>
      <w:r w:rsidRPr="00480164">
        <w:rPr>
          <w:rFonts w:ascii="Arial" w:hAnsi="Arial" w:cs="Arial"/>
        </w:rPr>
        <w:t xml:space="preserve">reduced spares; </w:t>
      </w:r>
    </w:p>
    <w:p w:rsidR="00480164" w:rsidRPr="00480164" w:rsidRDefault="00480164" w:rsidP="00480164">
      <w:pPr>
        <w:pStyle w:val="ListParagraph"/>
        <w:ind w:left="2580"/>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1"/>
          <w:numId w:val="47"/>
        </w:numPr>
        <w:ind w:hanging="1871"/>
        <w:contextualSpacing w:val="0"/>
        <w:jc w:val="both"/>
        <w:rPr>
          <w:rFonts w:ascii="Arial" w:hAnsi="Arial" w:cs="Arial"/>
        </w:rPr>
      </w:pPr>
      <w:r w:rsidRPr="00480164">
        <w:rPr>
          <w:rFonts w:ascii="Arial" w:hAnsi="Arial" w:cs="Arial"/>
        </w:rPr>
        <w:t xml:space="preserve">repair of components; </w:t>
      </w:r>
    </w:p>
    <w:p w:rsidR="00480164" w:rsidRPr="00480164" w:rsidRDefault="00480164" w:rsidP="00480164">
      <w:pPr>
        <w:pStyle w:val="ListParagraph"/>
        <w:spacing w:before="60"/>
        <w:ind w:left="2580"/>
        <w:jc w:val="both"/>
        <w:rPr>
          <w:rFonts w:ascii="Arial" w:hAnsi="Arial" w:cs="Arial"/>
        </w:rPr>
      </w:pPr>
    </w:p>
    <w:p w:rsidR="00480164" w:rsidRPr="00480164" w:rsidRDefault="00480164" w:rsidP="00480164">
      <w:pPr>
        <w:pStyle w:val="ListParagraph"/>
        <w:numPr>
          <w:ilvl w:val="1"/>
          <w:numId w:val="47"/>
        </w:numPr>
        <w:spacing w:before="60"/>
        <w:ind w:hanging="1871"/>
        <w:contextualSpacing w:val="0"/>
        <w:jc w:val="both"/>
        <w:rPr>
          <w:rFonts w:ascii="Arial" w:hAnsi="Arial" w:cs="Arial"/>
        </w:rPr>
      </w:pPr>
      <w:r w:rsidRPr="00480164">
        <w:rPr>
          <w:rFonts w:ascii="Arial" w:hAnsi="Arial" w:cs="Arial"/>
        </w:rPr>
        <w:t xml:space="preserve">spray painting for the J Ops Division; </w:t>
      </w:r>
    </w:p>
    <w:p w:rsidR="00480164" w:rsidRPr="00480164" w:rsidRDefault="00480164" w:rsidP="00480164">
      <w:pPr>
        <w:pStyle w:val="ListParagraph"/>
        <w:spacing w:before="60"/>
        <w:ind w:left="2580"/>
        <w:jc w:val="both"/>
        <w:rPr>
          <w:rFonts w:ascii="Arial" w:hAnsi="Arial" w:cs="Arial"/>
        </w:rPr>
      </w:pPr>
    </w:p>
    <w:p w:rsidR="00480164" w:rsidRPr="00480164" w:rsidRDefault="00480164" w:rsidP="00480164">
      <w:pPr>
        <w:pStyle w:val="ListParagraph"/>
        <w:numPr>
          <w:ilvl w:val="1"/>
          <w:numId w:val="47"/>
        </w:numPr>
        <w:spacing w:before="60"/>
        <w:ind w:hanging="1871"/>
        <w:contextualSpacing w:val="0"/>
        <w:jc w:val="both"/>
        <w:rPr>
          <w:rFonts w:ascii="Arial" w:hAnsi="Arial" w:cs="Arial"/>
        </w:rPr>
      </w:pPr>
      <w:r w:rsidRPr="00480164">
        <w:rPr>
          <w:rFonts w:ascii="Arial" w:hAnsi="Arial" w:cs="Arial"/>
        </w:rPr>
        <w:t xml:space="preserve">maintenance and repair at Special Forces; </w:t>
      </w:r>
    </w:p>
    <w:p w:rsidR="00480164" w:rsidRPr="00480164" w:rsidRDefault="00480164" w:rsidP="00480164">
      <w:pPr>
        <w:pStyle w:val="ListParagraph"/>
        <w:spacing w:before="60"/>
        <w:ind w:left="2580"/>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1"/>
          <w:numId w:val="47"/>
        </w:numPr>
        <w:spacing w:before="60"/>
        <w:ind w:hanging="1871"/>
        <w:contextualSpacing w:val="0"/>
        <w:jc w:val="both"/>
        <w:rPr>
          <w:rFonts w:ascii="Arial" w:hAnsi="Arial" w:cs="Arial"/>
        </w:rPr>
      </w:pPr>
      <w:r w:rsidRPr="00480164">
        <w:rPr>
          <w:rFonts w:ascii="Arial" w:hAnsi="Arial" w:cs="Arial"/>
        </w:rPr>
        <w:t xml:space="preserve">support to internal and external operations; </w:t>
      </w:r>
    </w:p>
    <w:p w:rsidR="00480164" w:rsidRPr="00480164" w:rsidRDefault="00480164" w:rsidP="00480164">
      <w:pPr>
        <w:pStyle w:val="ListParagraph"/>
        <w:spacing w:before="60"/>
        <w:ind w:left="2580"/>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1"/>
          <w:numId w:val="47"/>
        </w:numPr>
        <w:spacing w:before="60"/>
        <w:ind w:hanging="1871"/>
        <w:contextualSpacing w:val="0"/>
        <w:jc w:val="both"/>
        <w:rPr>
          <w:rFonts w:ascii="Arial" w:hAnsi="Arial" w:cs="Arial"/>
        </w:rPr>
      </w:pPr>
      <w:r w:rsidRPr="00480164">
        <w:rPr>
          <w:rFonts w:ascii="Arial" w:hAnsi="Arial" w:cs="Arial"/>
        </w:rPr>
        <w:t xml:space="preserve">maintenance and repair at Infantry School, and </w:t>
      </w:r>
    </w:p>
    <w:p w:rsidR="00480164" w:rsidRPr="00480164" w:rsidRDefault="00480164" w:rsidP="00480164">
      <w:pPr>
        <w:pStyle w:val="ListParagraph"/>
        <w:spacing w:before="60"/>
        <w:ind w:left="1418"/>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1"/>
          <w:numId w:val="47"/>
        </w:numPr>
        <w:spacing w:before="60"/>
        <w:ind w:left="1418" w:hanging="709"/>
        <w:contextualSpacing w:val="0"/>
        <w:jc w:val="both"/>
        <w:rPr>
          <w:rFonts w:ascii="Arial" w:hAnsi="Arial" w:cs="Arial"/>
        </w:rPr>
      </w:pPr>
      <w:r w:rsidRPr="00480164">
        <w:rPr>
          <w:rFonts w:ascii="Arial" w:hAnsi="Arial" w:cs="Arial"/>
        </w:rPr>
        <w:t xml:space="preserve">training and qualifying of one-thousand-one-hundred-and-eighty-one (1181) apprentices. </w:t>
      </w:r>
    </w:p>
    <w:p w:rsidR="00480164" w:rsidRPr="00480164" w:rsidRDefault="00480164" w:rsidP="00480164">
      <w:pPr>
        <w:pStyle w:val="ListParagraph"/>
        <w:spacing w:before="60"/>
        <w:ind w:left="709"/>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0"/>
          <w:numId w:val="47"/>
        </w:numPr>
        <w:spacing w:before="60" w:line="360" w:lineRule="auto"/>
        <w:ind w:left="709" w:hanging="709"/>
        <w:contextualSpacing w:val="0"/>
        <w:jc w:val="both"/>
        <w:rPr>
          <w:rFonts w:ascii="Arial" w:hAnsi="Arial" w:cs="Arial"/>
        </w:rPr>
      </w:pPr>
      <w:r w:rsidRPr="00480164">
        <w:rPr>
          <w:rFonts w:ascii="Arial" w:hAnsi="Arial" w:cs="Arial"/>
        </w:rPr>
        <w:t xml:space="preserve">The above mentioned calculations are based on R384 million that was saved in the FYs 2014/15 and 2015/16 of the initial contract and inclusive of the current contracted period. </w:t>
      </w:r>
    </w:p>
    <w:p w:rsidR="00480164" w:rsidRPr="00480164" w:rsidRDefault="00480164" w:rsidP="00480164">
      <w:pPr>
        <w:pStyle w:val="ListParagraph"/>
        <w:spacing w:before="60"/>
        <w:ind w:left="709"/>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0"/>
          <w:numId w:val="47"/>
        </w:numPr>
        <w:spacing w:before="60" w:line="360" w:lineRule="auto"/>
        <w:ind w:left="709" w:hanging="709"/>
        <w:contextualSpacing w:val="0"/>
        <w:jc w:val="both"/>
        <w:rPr>
          <w:rFonts w:ascii="Arial" w:hAnsi="Arial" w:cs="Arial"/>
        </w:rPr>
      </w:pPr>
      <w:r w:rsidRPr="00480164">
        <w:rPr>
          <w:rFonts w:ascii="Arial" w:hAnsi="Arial" w:cs="Arial"/>
        </w:rPr>
        <w:t xml:space="preserve">Vocational and technical skills that have been developed over the past three years came with not only college-text book-theory, but along with excellent work ethic that is military-operational results driven; which cannot be found in any civilian institution.  A feeder system to this initiative by the South African National Defence Force (SANDF) is the Military Skills Development System (MSDS) recruitment, whereby youth is trained and employed every year; therefore in this case the project has indeed, and continues to contribute towards national objectives of </w:t>
      </w:r>
      <w:r w:rsidRPr="00480164">
        <w:rPr>
          <w:rFonts w:ascii="Arial" w:hAnsi="Arial" w:cs="Arial"/>
        </w:rPr>
        <w:lastRenderedPageBreak/>
        <w:t xml:space="preserve">creating sustainable jobs whilst imparting unparalleled skills development with a unique twist of excellent military operational work ethics. </w:t>
      </w:r>
    </w:p>
    <w:p w:rsidR="00480164" w:rsidRPr="00480164" w:rsidRDefault="00480164" w:rsidP="00480164">
      <w:pPr>
        <w:pStyle w:val="ListParagraph"/>
        <w:spacing w:before="60"/>
        <w:ind w:left="709"/>
        <w:jc w:val="both"/>
        <w:rPr>
          <w:rFonts w:ascii="Arial" w:hAnsi="Arial" w:cs="Arial"/>
        </w:rPr>
      </w:pPr>
      <w:r w:rsidRPr="00480164">
        <w:rPr>
          <w:rFonts w:ascii="Arial" w:hAnsi="Arial" w:cs="Arial"/>
        </w:rPr>
        <w:t xml:space="preserve"> </w:t>
      </w:r>
    </w:p>
    <w:p w:rsidR="00480164" w:rsidRPr="00480164" w:rsidRDefault="00480164" w:rsidP="00480164">
      <w:pPr>
        <w:pStyle w:val="ListParagraph"/>
        <w:numPr>
          <w:ilvl w:val="0"/>
          <w:numId w:val="47"/>
        </w:numPr>
        <w:spacing w:before="60" w:line="360" w:lineRule="auto"/>
        <w:ind w:left="709" w:hanging="709"/>
        <w:contextualSpacing w:val="0"/>
        <w:jc w:val="both"/>
        <w:rPr>
          <w:rFonts w:ascii="Arial" w:hAnsi="Arial" w:cs="Arial"/>
        </w:rPr>
      </w:pPr>
      <w:r w:rsidRPr="00480164">
        <w:rPr>
          <w:rFonts w:ascii="Arial" w:hAnsi="Arial" w:cs="Arial"/>
        </w:rPr>
        <w:t>Members of Parliament are invited to visit Project Thusano workshops to equate recovered and savings by observation on the ground, especially in the Department’s preservation facilities in Walmansthall (Pretoria) and De Brug (Bloemfontein).</w:t>
      </w:r>
    </w:p>
    <w:p w:rsidR="009A623F" w:rsidRPr="00480164" w:rsidRDefault="009A623F" w:rsidP="009A2E91">
      <w:pPr>
        <w:spacing w:before="100" w:beforeAutospacing="1" w:after="100" w:afterAutospacing="1"/>
        <w:ind w:left="720" w:hanging="720"/>
        <w:jc w:val="both"/>
        <w:outlineLvl w:val="0"/>
        <w:rPr>
          <w:rFonts w:ascii="Arial" w:hAnsi="Arial" w:cs="Arial"/>
          <w:lang w:val="en-ZA"/>
        </w:rPr>
      </w:pPr>
    </w:p>
    <w:sectPr w:rsidR="009A623F" w:rsidRPr="00480164"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C5" w:rsidRDefault="00B505C5">
      <w:r>
        <w:separator/>
      </w:r>
    </w:p>
  </w:endnote>
  <w:endnote w:type="continuationSeparator" w:id="0">
    <w:p w:rsidR="00B505C5" w:rsidRDefault="00B5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480164">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C5" w:rsidRDefault="00B505C5">
      <w:r>
        <w:separator/>
      </w:r>
    </w:p>
  </w:footnote>
  <w:footnote w:type="continuationSeparator" w:id="0">
    <w:p w:rsidR="00B505C5" w:rsidRDefault="00B50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F00000B"/>
    <w:multiLevelType w:val="hybridMultilevel"/>
    <w:tmpl w:val="52DFC677"/>
    <w:lvl w:ilvl="0" w:tplc="1E6C979A">
      <w:start w:val="1"/>
      <w:numFmt w:val="decimal"/>
      <w:lvlText w:val="(%1)"/>
      <w:lvlJc w:val="left"/>
      <w:pPr>
        <w:ind w:left="720" w:hanging="360"/>
        <w:jc w:val="both"/>
      </w:pPr>
    </w:lvl>
    <w:lvl w:ilvl="1" w:tplc="680292F4">
      <w:start w:val="1"/>
      <w:numFmt w:val="lowerLetter"/>
      <w:lvlText w:val="%2."/>
      <w:lvlJc w:val="left"/>
      <w:pPr>
        <w:ind w:left="1440" w:hanging="360"/>
        <w:jc w:val="both"/>
      </w:pPr>
    </w:lvl>
    <w:lvl w:ilvl="2" w:tplc="25DAA392">
      <w:start w:val="1"/>
      <w:numFmt w:val="lowerRoman"/>
      <w:lvlText w:val="%3."/>
      <w:lvlJc w:val="right"/>
      <w:pPr>
        <w:ind w:left="2160" w:hanging="180"/>
        <w:jc w:val="both"/>
      </w:pPr>
    </w:lvl>
    <w:lvl w:ilvl="3" w:tplc="A7A053B6">
      <w:start w:val="1"/>
      <w:numFmt w:val="decimal"/>
      <w:lvlText w:val="%4."/>
      <w:lvlJc w:val="left"/>
      <w:pPr>
        <w:ind w:left="2880" w:hanging="360"/>
        <w:jc w:val="both"/>
      </w:pPr>
    </w:lvl>
    <w:lvl w:ilvl="4" w:tplc="C7D03222">
      <w:start w:val="1"/>
      <w:numFmt w:val="lowerLetter"/>
      <w:lvlText w:val="%5."/>
      <w:lvlJc w:val="left"/>
      <w:pPr>
        <w:ind w:left="3600" w:hanging="360"/>
        <w:jc w:val="both"/>
      </w:pPr>
    </w:lvl>
    <w:lvl w:ilvl="5" w:tplc="BF48B8D4">
      <w:start w:val="1"/>
      <w:numFmt w:val="lowerRoman"/>
      <w:lvlText w:val="%6."/>
      <w:lvlJc w:val="right"/>
      <w:pPr>
        <w:ind w:left="4320" w:hanging="180"/>
        <w:jc w:val="both"/>
      </w:pPr>
    </w:lvl>
    <w:lvl w:ilvl="6" w:tplc="4188853C">
      <w:start w:val="1"/>
      <w:numFmt w:val="decimal"/>
      <w:lvlText w:val="%7."/>
      <w:lvlJc w:val="left"/>
      <w:pPr>
        <w:ind w:left="5040" w:hanging="360"/>
        <w:jc w:val="both"/>
      </w:pPr>
    </w:lvl>
    <w:lvl w:ilvl="7" w:tplc="B9102F40">
      <w:start w:val="1"/>
      <w:numFmt w:val="lowerLetter"/>
      <w:lvlText w:val="%8."/>
      <w:lvlJc w:val="left"/>
      <w:pPr>
        <w:ind w:left="5760" w:hanging="360"/>
        <w:jc w:val="both"/>
      </w:pPr>
    </w:lvl>
    <w:lvl w:ilvl="8" w:tplc="3830E564">
      <w:start w:val="1"/>
      <w:numFmt w:val="lowerRoman"/>
      <w:lvlText w:val="%9."/>
      <w:lvlJc w:val="right"/>
      <w:pPr>
        <w:ind w:left="6480" w:hanging="180"/>
        <w:jc w:val="both"/>
      </w:pPr>
    </w:lvl>
  </w:abstractNum>
  <w:abstractNum w:abstractNumId="2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8">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9CD4D6E"/>
    <w:multiLevelType w:val="hybridMultilevel"/>
    <w:tmpl w:val="88EC691A"/>
    <w:lvl w:ilvl="0" w:tplc="0809000F">
      <w:start w:val="1"/>
      <w:numFmt w:val="decimal"/>
      <w:lvlText w:val="%1."/>
      <w:lvlJc w:val="left"/>
      <w:pPr>
        <w:ind w:left="1860" w:hanging="360"/>
      </w:p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6">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43"/>
  </w:num>
  <w:num w:numId="3">
    <w:abstractNumId w:val="5"/>
  </w:num>
  <w:num w:numId="4">
    <w:abstractNumId w:val="42"/>
  </w:num>
  <w:num w:numId="5">
    <w:abstractNumId w:val="32"/>
  </w:num>
  <w:num w:numId="6">
    <w:abstractNumId w:val="22"/>
  </w:num>
  <w:num w:numId="7">
    <w:abstractNumId w:val="27"/>
  </w:num>
  <w:num w:numId="8">
    <w:abstractNumId w:val="29"/>
  </w:num>
  <w:num w:numId="9">
    <w:abstractNumId w:val="14"/>
  </w:num>
  <w:num w:numId="10">
    <w:abstractNumId w:val="9"/>
  </w:num>
  <w:num w:numId="11">
    <w:abstractNumId w:val="30"/>
  </w:num>
  <w:num w:numId="12">
    <w:abstractNumId w:val="4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4"/>
  </w:num>
  <w:num w:numId="20">
    <w:abstractNumId w:val="13"/>
  </w:num>
  <w:num w:numId="21">
    <w:abstractNumId w:val="34"/>
  </w:num>
  <w:num w:numId="22">
    <w:abstractNumId w:val="37"/>
  </w:num>
  <w:num w:numId="23">
    <w:abstractNumId w:val="2"/>
  </w:num>
  <w:num w:numId="24">
    <w:abstractNumId w:val="7"/>
  </w:num>
  <w:num w:numId="25">
    <w:abstractNumId w:val="36"/>
  </w:num>
  <w:num w:numId="26">
    <w:abstractNumId w:val="23"/>
  </w:num>
  <w:num w:numId="27">
    <w:abstractNumId w:val="4"/>
  </w:num>
  <w:num w:numId="28">
    <w:abstractNumId w:val="26"/>
  </w:num>
  <w:num w:numId="29">
    <w:abstractNumId w:val="11"/>
  </w:num>
  <w:num w:numId="30">
    <w:abstractNumId w:val="10"/>
  </w:num>
  <w:num w:numId="31">
    <w:abstractNumId w:val="44"/>
  </w:num>
  <w:num w:numId="32">
    <w:abstractNumId w:val="12"/>
  </w:num>
  <w:num w:numId="33">
    <w:abstractNumId w:val="38"/>
  </w:num>
  <w:num w:numId="34">
    <w:abstractNumId w:val="20"/>
  </w:num>
  <w:num w:numId="35">
    <w:abstractNumId w:val="8"/>
  </w:num>
  <w:num w:numId="36">
    <w:abstractNumId w:val="15"/>
  </w:num>
  <w:num w:numId="37">
    <w:abstractNumId w:val="25"/>
  </w:num>
  <w:num w:numId="38">
    <w:abstractNumId w:val="28"/>
  </w:num>
  <w:num w:numId="39">
    <w:abstractNumId w:val="16"/>
  </w:num>
  <w:num w:numId="40">
    <w:abstractNumId w:val="3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1"/>
  </w:num>
  <w:num w:numId="46">
    <w:abstractNumId w:val="1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018E"/>
    <w:rsid w:val="00016846"/>
    <w:rsid w:val="000169B4"/>
    <w:rsid w:val="00016BB6"/>
    <w:rsid w:val="00025E6B"/>
    <w:rsid w:val="0004248C"/>
    <w:rsid w:val="00054F7E"/>
    <w:rsid w:val="00061510"/>
    <w:rsid w:val="0006245B"/>
    <w:rsid w:val="000649D4"/>
    <w:rsid w:val="00073F12"/>
    <w:rsid w:val="0008122D"/>
    <w:rsid w:val="000822A5"/>
    <w:rsid w:val="000967F2"/>
    <w:rsid w:val="00096E99"/>
    <w:rsid w:val="000A4731"/>
    <w:rsid w:val="000A47FB"/>
    <w:rsid w:val="000B1BE4"/>
    <w:rsid w:val="000B3C6A"/>
    <w:rsid w:val="000B5C14"/>
    <w:rsid w:val="000C42E7"/>
    <w:rsid w:val="000D58FF"/>
    <w:rsid w:val="00100C8E"/>
    <w:rsid w:val="001061D7"/>
    <w:rsid w:val="00120D31"/>
    <w:rsid w:val="00125369"/>
    <w:rsid w:val="00126531"/>
    <w:rsid w:val="00135D47"/>
    <w:rsid w:val="00136875"/>
    <w:rsid w:val="001468E9"/>
    <w:rsid w:val="001556EF"/>
    <w:rsid w:val="001557BB"/>
    <w:rsid w:val="00160C40"/>
    <w:rsid w:val="0016291F"/>
    <w:rsid w:val="00162E0C"/>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39EB"/>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13AA3"/>
    <w:rsid w:val="003238CD"/>
    <w:rsid w:val="00325197"/>
    <w:rsid w:val="00325B4E"/>
    <w:rsid w:val="00332435"/>
    <w:rsid w:val="00333386"/>
    <w:rsid w:val="00337A7C"/>
    <w:rsid w:val="00341D9F"/>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0164"/>
    <w:rsid w:val="00482881"/>
    <w:rsid w:val="004853C9"/>
    <w:rsid w:val="00487AD3"/>
    <w:rsid w:val="00495C34"/>
    <w:rsid w:val="00496ABE"/>
    <w:rsid w:val="004B2C41"/>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6A52"/>
    <w:rsid w:val="005E74A8"/>
    <w:rsid w:val="005F583E"/>
    <w:rsid w:val="00600EBB"/>
    <w:rsid w:val="0060294F"/>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0692D"/>
    <w:rsid w:val="00706DA4"/>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B417D"/>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2428D"/>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A2E91"/>
    <w:rsid w:val="009A623F"/>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2B68"/>
    <w:rsid w:val="00A77D0D"/>
    <w:rsid w:val="00A85A01"/>
    <w:rsid w:val="00A86B1D"/>
    <w:rsid w:val="00A907F7"/>
    <w:rsid w:val="00A9174C"/>
    <w:rsid w:val="00A92E14"/>
    <w:rsid w:val="00A9355F"/>
    <w:rsid w:val="00AA086B"/>
    <w:rsid w:val="00AA5936"/>
    <w:rsid w:val="00AA6515"/>
    <w:rsid w:val="00AB2390"/>
    <w:rsid w:val="00AC27C8"/>
    <w:rsid w:val="00AC4A96"/>
    <w:rsid w:val="00AC7E82"/>
    <w:rsid w:val="00AD41BC"/>
    <w:rsid w:val="00AD6512"/>
    <w:rsid w:val="00AD717F"/>
    <w:rsid w:val="00AD77CA"/>
    <w:rsid w:val="00AE190F"/>
    <w:rsid w:val="00AE3B6B"/>
    <w:rsid w:val="00AF7832"/>
    <w:rsid w:val="00B105F2"/>
    <w:rsid w:val="00B10F42"/>
    <w:rsid w:val="00B21CD1"/>
    <w:rsid w:val="00B22B44"/>
    <w:rsid w:val="00B441E2"/>
    <w:rsid w:val="00B505C5"/>
    <w:rsid w:val="00B5492F"/>
    <w:rsid w:val="00B63240"/>
    <w:rsid w:val="00B66A50"/>
    <w:rsid w:val="00B75280"/>
    <w:rsid w:val="00B7657A"/>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5DF0"/>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42C76"/>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4109"/>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5993723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64655096">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20582332">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10530463">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9AD5-9AC6-4B5B-89BE-5C9975C8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2019-04-16T14:15:00Z</cp:lastPrinted>
  <dcterms:created xsi:type="dcterms:W3CDTF">2019-11-27T16:22:00Z</dcterms:created>
  <dcterms:modified xsi:type="dcterms:W3CDTF">2019-12-05T09:02:00Z</dcterms:modified>
</cp:coreProperties>
</file>