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49" w:rsidRDefault="004F6749" w:rsidP="00DC73B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bookmarkEnd w:id="0"/>
    </w:p>
    <w:p w:rsidR="00F515CF" w:rsidRPr="00AA5390" w:rsidRDefault="00F515CF" w:rsidP="00DC73B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A5390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AA5390" w:rsidRDefault="001304CF" w:rsidP="00DC73B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A5390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AA5390">
        <w:rPr>
          <w:rFonts w:ascii="Arial" w:eastAsia="Times New Roman" w:hAnsi="Arial" w:cs="Arial"/>
          <w:b/>
          <w:sz w:val="24"/>
          <w:szCs w:val="24"/>
        </w:rPr>
        <w:t>R</w:t>
      </w:r>
      <w:r w:rsidRPr="00AA5390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AA5390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AA5390" w:rsidRDefault="001168CA" w:rsidP="00DC73B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AA5390" w:rsidRDefault="00FD7F03" w:rsidP="00DC73B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AA5390" w:rsidRDefault="00F515CF" w:rsidP="00DC73B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5390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66022A" w:rsidRPr="00AA5390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7E3A5F" w:rsidRPr="00AA5390">
        <w:rPr>
          <w:rFonts w:ascii="Arial" w:eastAsia="Times New Roman" w:hAnsi="Arial" w:cs="Arial"/>
          <w:b/>
          <w:bCs/>
          <w:sz w:val="24"/>
          <w:szCs w:val="24"/>
        </w:rPr>
        <w:t>32</w:t>
      </w:r>
      <w:r w:rsidR="00DC73B8" w:rsidRPr="00AA5390">
        <w:rPr>
          <w:rFonts w:ascii="Arial" w:eastAsia="Times New Roman" w:hAnsi="Arial" w:cs="Arial"/>
          <w:b/>
          <w:bCs/>
          <w:sz w:val="24"/>
          <w:szCs w:val="24"/>
        </w:rPr>
        <w:t>1</w:t>
      </w:r>
    </w:p>
    <w:p w:rsidR="00FF1348" w:rsidRPr="00AA5390" w:rsidRDefault="00F515CF" w:rsidP="00DC73B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5390">
        <w:rPr>
          <w:rFonts w:ascii="Arial" w:eastAsia="Times New Roman" w:hAnsi="Arial" w:cs="Arial"/>
          <w:sz w:val="24"/>
          <w:szCs w:val="24"/>
        </w:rPr>
        <w:t> </w:t>
      </w:r>
    </w:p>
    <w:p w:rsidR="002355A7" w:rsidRPr="00AA5390" w:rsidRDefault="00687C52" w:rsidP="00DC73B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AA5390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AA5390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66022A" w:rsidRPr="00AA5390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7E3A5F" w:rsidRPr="00AA5390">
        <w:rPr>
          <w:rFonts w:ascii="Arial" w:eastAsia="Times New Roman" w:hAnsi="Arial" w:cs="Arial"/>
          <w:b/>
          <w:bCs/>
          <w:sz w:val="24"/>
          <w:szCs w:val="24"/>
          <w:u w:val="single"/>
        </w:rPr>
        <w:t>3</w:t>
      </w:r>
      <w:r w:rsidR="0031187C" w:rsidRPr="00AA5390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AA5390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  <w:r w:rsidR="0034601D" w:rsidRPr="00AA5390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AA5390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AA5390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AA5390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AA5390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AA5390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7E3A5F" w:rsidRPr="00AA5390">
        <w:rPr>
          <w:rFonts w:ascii="Arial" w:eastAsia="Times New Roman" w:hAnsi="Arial" w:cs="Arial"/>
          <w:b/>
          <w:bCs/>
          <w:sz w:val="24"/>
          <w:szCs w:val="24"/>
          <w:u w:val="single"/>
        </w:rPr>
        <w:t>26</w:t>
      </w:r>
      <w:r w:rsidR="00667C44" w:rsidRPr="00AA5390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8B4183" w:rsidRPr="00AA5390">
        <w:rPr>
          <w:rFonts w:ascii="Arial" w:eastAsia="Times New Roman" w:hAnsi="Arial" w:cs="Arial"/>
          <w:b/>
          <w:bCs/>
          <w:sz w:val="24"/>
          <w:szCs w:val="24"/>
          <w:u w:val="single"/>
        </w:rPr>
        <w:t>JUNE</w:t>
      </w:r>
      <w:r w:rsidR="00F515CF" w:rsidRPr="00AA5390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AA5390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</w:p>
    <w:p w:rsidR="00EE5915" w:rsidRPr="00AA5390" w:rsidRDefault="00EE5915" w:rsidP="00DC73B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en-ZA"/>
        </w:rPr>
      </w:pPr>
    </w:p>
    <w:p w:rsidR="00DC73B8" w:rsidRPr="00AA5390" w:rsidRDefault="00DC73B8" w:rsidP="00DC73B8">
      <w:pPr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AA5390">
        <w:rPr>
          <w:rFonts w:ascii="Arial" w:hAnsi="Arial" w:cs="Arial"/>
          <w:b/>
          <w:sz w:val="24"/>
          <w:szCs w:val="24"/>
        </w:rPr>
        <w:t>1321.</w:t>
      </w:r>
      <w:r w:rsidRPr="00AA5390">
        <w:rPr>
          <w:rFonts w:ascii="Arial" w:hAnsi="Arial" w:cs="Arial"/>
          <w:b/>
          <w:sz w:val="24"/>
          <w:szCs w:val="24"/>
        </w:rPr>
        <w:tab/>
        <w:t>Mrs A Steyn (DA) to ask the Minister of Agriculture, Land Reform and Rural Development</w:t>
      </w:r>
      <w:r w:rsidR="00A908B8" w:rsidRPr="00AA5390">
        <w:rPr>
          <w:rFonts w:ascii="Arial" w:hAnsi="Arial" w:cs="Arial"/>
          <w:b/>
          <w:sz w:val="24"/>
          <w:szCs w:val="24"/>
        </w:rPr>
        <w:fldChar w:fldCharType="begin"/>
      </w:r>
      <w:r w:rsidRPr="00AA5390">
        <w:rPr>
          <w:rFonts w:ascii="Arial" w:hAnsi="Arial" w:cs="Arial"/>
          <w:sz w:val="24"/>
          <w:szCs w:val="24"/>
        </w:rPr>
        <w:instrText xml:space="preserve"> XE "</w:instrText>
      </w:r>
      <w:r w:rsidRPr="00AA5390">
        <w:rPr>
          <w:rFonts w:ascii="Arial" w:hAnsi="Arial" w:cs="Arial"/>
          <w:b/>
          <w:sz w:val="24"/>
          <w:szCs w:val="24"/>
        </w:rPr>
        <w:instrText>Agriculture, Land Reform and Rural Development</w:instrText>
      </w:r>
      <w:r w:rsidRPr="00AA5390">
        <w:rPr>
          <w:rFonts w:ascii="Arial" w:hAnsi="Arial" w:cs="Arial"/>
          <w:sz w:val="24"/>
          <w:szCs w:val="24"/>
        </w:rPr>
        <w:instrText xml:space="preserve">" </w:instrText>
      </w:r>
      <w:r w:rsidR="00A908B8" w:rsidRPr="00AA5390">
        <w:rPr>
          <w:rFonts w:ascii="Arial" w:hAnsi="Arial" w:cs="Arial"/>
          <w:b/>
          <w:sz w:val="24"/>
          <w:szCs w:val="24"/>
        </w:rPr>
        <w:fldChar w:fldCharType="end"/>
      </w:r>
      <w:r w:rsidRPr="00AA5390">
        <w:rPr>
          <w:rFonts w:ascii="Arial" w:hAnsi="Arial" w:cs="Arial"/>
          <w:b/>
          <w:sz w:val="24"/>
          <w:szCs w:val="24"/>
        </w:rPr>
        <w:t>:</w:t>
      </w:r>
    </w:p>
    <w:p w:rsidR="00DC73B8" w:rsidRPr="00AA5390" w:rsidRDefault="00DC73B8" w:rsidP="00DC73B8">
      <w:pPr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DC73B8" w:rsidRPr="00AA5390" w:rsidRDefault="00DC73B8" w:rsidP="00DC73B8">
      <w:pPr>
        <w:pStyle w:val="ListParagraph"/>
        <w:numPr>
          <w:ilvl w:val="0"/>
          <w:numId w:val="17"/>
        </w:numPr>
        <w:spacing w:after="0" w:line="240" w:lineRule="auto"/>
        <w:ind w:left="709"/>
        <w:jc w:val="both"/>
        <w:outlineLvl w:val="0"/>
        <w:rPr>
          <w:rFonts w:ascii="Arial" w:hAnsi="Arial" w:cs="Arial"/>
          <w:sz w:val="24"/>
          <w:szCs w:val="24"/>
        </w:rPr>
      </w:pPr>
      <w:r w:rsidRPr="00AA5390">
        <w:rPr>
          <w:rFonts w:ascii="Arial" w:hAnsi="Arial" w:cs="Arial"/>
          <w:sz w:val="24"/>
          <w:szCs w:val="24"/>
        </w:rPr>
        <w:t xml:space="preserve">What is the total outstanding amount for all invoices not paid by her department </w:t>
      </w:r>
      <w:r w:rsidRPr="00C74BA4">
        <w:rPr>
          <w:rFonts w:ascii="Arial" w:hAnsi="Arial" w:cs="Arial"/>
          <w:color w:val="000000" w:themeColor="text1"/>
          <w:sz w:val="24"/>
          <w:szCs w:val="24"/>
        </w:rPr>
        <w:t>(a) within 30 days and</w:t>
      </w:r>
      <w:r w:rsidRPr="00AA5390">
        <w:rPr>
          <w:rFonts w:ascii="Arial" w:hAnsi="Arial" w:cs="Arial"/>
          <w:sz w:val="24"/>
          <w:szCs w:val="24"/>
        </w:rPr>
        <w:t>/or (b) within 60 days or longer;</w:t>
      </w:r>
    </w:p>
    <w:p w:rsidR="001D012E" w:rsidRPr="00AA5390" w:rsidRDefault="001D012E" w:rsidP="001D012E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1D012E" w:rsidRPr="00AA5390" w:rsidRDefault="001D012E" w:rsidP="001D012E">
      <w:pPr>
        <w:pStyle w:val="ListParagraph"/>
        <w:numPr>
          <w:ilvl w:val="0"/>
          <w:numId w:val="17"/>
        </w:numPr>
        <w:spacing w:after="0" w:line="240" w:lineRule="auto"/>
        <w:ind w:left="720"/>
        <w:jc w:val="both"/>
        <w:outlineLvl w:val="0"/>
        <w:rPr>
          <w:rFonts w:ascii="Arial" w:hAnsi="Arial" w:cs="Arial"/>
          <w:sz w:val="24"/>
          <w:szCs w:val="24"/>
        </w:rPr>
      </w:pPr>
      <w:r w:rsidRPr="00AA5390">
        <w:rPr>
          <w:rFonts w:ascii="Arial" w:hAnsi="Arial" w:cs="Arial"/>
          <w:sz w:val="24"/>
          <w:szCs w:val="24"/>
        </w:rPr>
        <w:t>What steps has her department taken to ensure that it will be able to meet the target of paying all invoices within 30 days?</w:t>
      </w:r>
      <w:r w:rsidRPr="00AA5390">
        <w:rPr>
          <w:rFonts w:ascii="Arial" w:hAnsi="Arial" w:cs="Arial"/>
          <w:sz w:val="24"/>
          <w:szCs w:val="24"/>
        </w:rPr>
        <w:tab/>
      </w:r>
      <w:r w:rsidRPr="00AA5390">
        <w:rPr>
          <w:rFonts w:ascii="Arial" w:hAnsi="Arial" w:cs="Arial"/>
          <w:sz w:val="24"/>
          <w:szCs w:val="24"/>
        </w:rPr>
        <w:tab/>
      </w:r>
      <w:r w:rsidRPr="00AA5390">
        <w:rPr>
          <w:rFonts w:ascii="Arial" w:hAnsi="Arial" w:cs="Arial"/>
          <w:sz w:val="24"/>
          <w:szCs w:val="24"/>
        </w:rPr>
        <w:tab/>
        <w:t xml:space="preserve">    </w:t>
      </w:r>
      <w:r w:rsidRPr="00AA5390">
        <w:rPr>
          <w:rFonts w:ascii="Arial" w:hAnsi="Arial" w:cs="Arial"/>
          <w:b/>
          <w:sz w:val="24"/>
          <w:szCs w:val="24"/>
        </w:rPr>
        <w:t xml:space="preserve"> </w:t>
      </w:r>
      <w:r w:rsidR="00212C1B">
        <w:rPr>
          <w:rFonts w:ascii="Arial" w:hAnsi="Arial" w:cs="Arial"/>
          <w:b/>
          <w:sz w:val="24"/>
          <w:szCs w:val="24"/>
        </w:rPr>
        <w:t xml:space="preserve">          </w:t>
      </w:r>
      <w:r w:rsidR="00950EC4">
        <w:rPr>
          <w:rFonts w:ascii="Arial" w:hAnsi="Arial" w:cs="Arial"/>
          <w:b/>
          <w:sz w:val="24"/>
          <w:szCs w:val="24"/>
        </w:rPr>
        <w:t xml:space="preserve">     </w:t>
      </w:r>
      <w:r w:rsidRPr="00AA5390">
        <w:rPr>
          <w:rFonts w:ascii="Arial" w:hAnsi="Arial" w:cs="Arial"/>
          <w:b/>
          <w:sz w:val="24"/>
          <w:szCs w:val="24"/>
        </w:rPr>
        <w:t>NW1689E</w:t>
      </w:r>
    </w:p>
    <w:p w:rsidR="001D012E" w:rsidRPr="00AA5390" w:rsidRDefault="001D012E" w:rsidP="001D012E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1D012E" w:rsidRPr="00AA5390" w:rsidRDefault="001D012E" w:rsidP="001D012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ZA"/>
        </w:rPr>
      </w:pPr>
      <w:r w:rsidRPr="00AA5390">
        <w:rPr>
          <w:rFonts w:ascii="Arial" w:hAnsi="Arial" w:cs="Arial"/>
          <w:b/>
          <w:sz w:val="24"/>
          <w:szCs w:val="24"/>
        </w:rPr>
        <w:t>THE MINISTER OF AGRICULTURE, LAND REFORM AND RURAL DEVELOPMENT:</w:t>
      </w:r>
    </w:p>
    <w:p w:rsidR="005771BF" w:rsidRPr="00AA5390" w:rsidRDefault="005771BF" w:rsidP="005771BF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3E425A" w:rsidRPr="00AA5390" w:rsidRDefault="00C74BA4" w:rsidP="00C74BA4">
      <w:pPr>
        <w:pStyle w:val="ListParagraph"/>
        <w:tabs>
          <w:tab w:val="left" w:pos="426"/>
        </w:tabs>
        <w:spacing w:after="0" w:line="240" w:lineRule="auto"/>
        <w:ind w:left="0"/>
        <w:jc w:val="both"/>
        <w:outlineLvl w:val="0"/>
        <w:rPr>
          <w:rFonts w:ascii="Arial" w:eastAsia="Segoe UI Emoji" w:hAnsi="Arial" w:cs="Arial"/>
          <w:sz w:val="24"/>
          <w:szCs w:val="24"/>
        </w:rPr>
      </w:pPr>
      <w:r>
        <w:rPr>
          <w:rFonts w:ascii="Arial" w:eastAsia="Segoe UI Emoji" w:hAnsi="Arial" w:cs="Arial"/>
          <w:sz w:val="24"/>
          <w:szCs w:val="24"/>
        </w:rPr>
        <w:t>(1)</w:t>
      </w:r>
      <w:r w:rsidR="005771BF" w:rsidRPr="00AA5390">
        <w:rPr>
          <w:rFonts w:ascii="Arial" w:eastAsia="Segoe UI Emoji" w:hAnsi="Arial" w:cs="Arial"/>
          <w:sz w:val="24"/>
          <w:szCs w:val="24"/>
        </w:rPr>
        <w:t>(a)</w:t>
      </w:r>
      <w:proofErr w:type="gramStart"/>
      <w:r w:rsidR="00AA5390">
        <w:rPr>
          <w:rFonts w:ascii="Arial" w:eastAsia="Segoe UI Emoji" w:hAnsi="Arial" w:cs="Arial"/>
          <w:sz w:val="24"/>
          <w:szCs w:val="24"/>
        </w:rPr>
        <w:t>,(</w:t>
      </w:r>
      <w:proofErr w:type="gramEnd"/>
      <w:r w:rsidR="00AA5390">
        <w:rPr>
          <w:rFonts w:ascii="Arial" w:eastAsia="Segoe UI Emoji" w:hAnsi="Arial" w:cs="Arial"/>
          <w:sz w:val="24"/>
          <w:szCs w:val="24"/>
        </w:rPr>
        <w:t>b)</w:t>
      </w:r>
      <w:r>
        <w:rPr>
          <w:rFonts w:ascii="Arial" w:eastAsia="Segoe UI Emoji" w:hAnsi="Arial" w:cs="Arial"/>
          <w:sz w:val="24"/>
          <w:szCs w:val="24"/>
        </w:rPr>
        <w:t xml:space="preserve">  </w:t>
      </w:r>
      <w:r w:rsidR="000808A3" w:rsidRPr="00AA5390">
        <w:rPr>
          <w:rFonts w:ascii="Arial" w:eastAsia="Segoe UI Emoji" w:hAnsi="Arial" w:cs="Arial"/>
          <w:sz w:val="24"/>
          <w:szCs w:val="24"/>
        </w:rPr>
        <w:t xml:space="preserve">As </w:t>
      </w:r>
      <w:r>
        <w:rPr>
          <w:rFonts w:ascii="Arial" w:eastAsia="Segoe UI Emoji" w:hAnsi="Arial" w:cs="Arial"/>
          <w:sz w:val="24"/>
          <w:szCs w:val="24"/>
        </w:rPr>
        <w:t xml:space="preserve">at </w:t>
      </w:r>
      <w:r w:rsidR="000808A3" w:rsidRPr="00AA5390">
        <w:rPr>
          <w:rFonts w:ascii="Arial" w:eastAsia="Segoe UI Emoji" w:hAnsi="Arial" w:cs="Arial"/>
          <w:sz w:val="24"/>
          <w:szCs w:val="24"/>
        </w:rPr>
        <w:t>31 March 2020</w:t>
      </w:r>
      <w:r>
        <w:rPr>
          <w:rFonts w:ascii="Arial" w:eastAsia="Segoe UI Emoji" w:hAnsi="Arial" w:cs="Arial"/>
          <w:sz w:val="24"/>
          <w:szCs w:val="24"/>
        </w:rPr>
        <w:t xml:space="preserve">, please </w:t>
      </w:r>
      <w:r w:rsidR="00AA5390">
        <w:rPr>
          <w:rFonts w:ascii="Arial" w:eastAsia="Segoe UI Emoji" w:hAnsi="Arial" w:cs="Arial"/>
          <w:sz w:val="24"/>
          <w:szCs w:val="24"/>
        </w:rPr>
        <w:t>refer to the table below.</w:t>
      </w:r>
    </w:p>
    <w:tbl>
      <w:tblPr>
        <w:tblStyle w:val="TableGrid"/>
        <w:tblW w:w="0" w:type="auto"/>
        <w:tblInd w:w="1440" w:type="dxa"/>
        <w:tblLook w:val="04A0"/>
      </w:tblPr>
      <w:tblGrid>
        <w:gridCol w:w="1600"/>
        <w:gridCol w:w="2052"/>
        <w:gridCol w:w="2835"/>
      </w:tblGrid>
      <w:tr w:rsidR="00AA5390" w:rsidRPr="00AA5390" w:rsidTr="00C74BA4">
        <w:trPr>
          <w:trHeight w:val="300"/>
        </w:trPr>
        <w:tc>
          <w:tcPr>
            <w:tcW w:w="6487" w:type="dxa"/>
            <w:gridSpan w:val="3"/>
            <w:shd w:val="clear" w:color="auto" w:fill="F2F2F2" w:themeFill="background1" w:themeFillShade="F2"/>
            <w:noWrap/>
          </w:tcPr>
          <w:p w:rsidR="00AA5390" w:rsidRPr="00AA5390" w:rsidRDefault="00AA5390" w:rsidP="00AA5390">
            <w:pPr>
              <w:jc w:val="center"/>
              <w:outlineLvl w:val="0"/>
              <w:rPr>
                <w:rFonts w:ascii="Arial" w:eastAsia="Segoe UI Emoji" w:hAnsi="Arial" w:cs="Arial"/>
                <w:b/>
                <w:sz w:val="24"/>
                <w:szCs w:val="24"/>
              </w:rPr>
            </w:pPr>
            <w:r>
              <w:rPr>
                <w:rFonts w:ascii="Arial" w:eastAsia="Segoe UI Emoji" w:hAnsi="Arial" w:cs="Arial"/>
                <w:b/>
                <w:sz w:val="24"/>
                <w:szCs w:val="24"/>
              </w:rPr>
              <w:t>(a)</w:t>
            </w:r>
          </w:p>
        </w:tc>
      </w:tr>
      <w:tr w:rsidR="00AA5390" w:rsidRPr="00AA5390" w:rsidTr="00C74BA4">
        <w:trPr>
          <w:trHeight w:val="300"/>
        </w:trPr>
        <w:tc>
          <w:tcPr>
            <w:tcW w:w="1600" w:type="dxa"/>
            <w:shd w:val="clear" w:color="auto" w:fill="F2F2F2" w:themeFill="background1" w:themeFillShade="F2"/>
            <w:noWrap/>
          </w:tcPr>
          <w:p w:rsidR="00AA5390" w:rsidRPr="00AA5390" w:rsidRDefault="00AA5390" w:rsidP="005771BF">
            <w:pPr>
              <w:jc w:val="both"/>
              <w:outlineLvl w:val="0"/>
              <w:rPr>
                <w:rFonts w:ascii="Arial" w:eastAsia="Segoe UI Emoji" w:hAnsi="Arial" w:cs="Arial"/>
                <w:b/>
                <w:sz w:val="24"/>
                <w:szCs w:val="24"/>
              </w:rPr>
            </w:pPr>
            <w:r w:rsidRPr="00AA5390">
              <w:rPr>
                <w:rFonts w:ascii="Arial" w:eastAsia="Segoe UI Emoji" w:hAnsi="Arial" w:cs="Arial"/>
                <w:b/>
                <w:sz w:val="24"/>
                <w:szCs w:val="24"/>
              </w:rPr>
              <w:t>No. of days</w:t>
            </w:r>
          </w:p>
        </w:tc>
        <w:tc>
          <w:tcPr>
            <w:tcW w:w="2052" w:type="dxa"/>
            <w:shd w:val="clear" w:color="auto" w:fill="F2F2F2" w:themeFill="background1" w:themeFillShade="F2"/>
            <w:noWrap/>
          </w:tcPr>
          <w:p w:rsidR="00AA5390" w:rsidRPr="00AA5390" w:rsidRDefault="00AA5390" w:rsidP="005771BF">
            <w:pPr>
              <w:jc w:val="both"/>
              <w:outlineLvl w:val="0"/>
              <w:rPr>
                <w:rFonts w:ascii="Arial" w:eastAsia="Segoe UI Emoji" w:hAnsi="Arial" w:cs="Arial"/>
                <w:b/>
                <w:sz w:val="24"/>
                <w:szCs w:val="24"/>
              </w:rPr>
            </w:pPr>
            <w:r w:rsidRPr="00AA5390">
              <w:rPr>
                <w:rFonts w:ascii="Arial" w:eastAsia="Segoe UI Emoji" w:hAnsi="Arial" w:cs="Arial"/>
                <w:b/>
                <w:sz w:val="24"/>
                <w:szCs w:val="24"/>
              </w:rPr>
              <w:t>Quantity</w:t>
            </w:r>
          </w:p>
        </w:tc>
        <w:tc>
          <w:tcPr>
            <w:tcW w:w="2835" w:type="dxa"/>
            <w:shd w:val="clear" w:color="auto" w:fill="F2F2F2" w:themeFill="background1" w:themeFillShade="F2"/>
            <w:noWrap/>
          </w:tcPr>
          <w:p w:rsidR="00AA5390" w:rsidRPr="00AA5390" w:rsidRDefault="00AA5390" w:rsidP="005771BF">
            <w:pPr>
              <w:jc w:val="both"/>
              <w:outlineLvl w:val="0"/>
              <w:rPr>
                <w:rFonts w:ascii="Arial" w:eastAsia="Segoe UI Emoji" w:hAnsi="Arial" w:cs="Arial"/>
                <w:b/>
                <w:sz w:val="24"/>
                <w:szCs w:val="24"/>
              </w:rPr>
            </w:pPr>
            <w:r w:rsidRPr="00AA5390">
              <w:rPr>
                <w:rFonts w:ascii="Arial" w:eastAsia="Segoe UI Emoji" w:hAnsi="Arial" w:cs="Arial"/>
                <w:b/>
                <w:sz w:val="24"/>
                <w:szCs w:val="24"/>
              </w:rPr>
              <w:t>Value</w:t>
            </w:r>
          </w:p>
        </w:tc>
      </w:tr>
      <w:tr w:rsidR="005771BF" w:rsidRPr="00AA5390" w:rsidTr="00C74BA4">
        <w:trPr>
          <w:trHeight w:val="300"/>
        </w:trPr>
        <w:tc>
          <w:tcPr>
            <w:tcW w:w="1600" w:type="dxa"/>
            <w:noWrap/>
            <w:hideMark/>
          </w:tcPr>
          <w:p w:rsidR="005771BF" w:rsidRPr="00AA5390" w:rsidRDefault="005771BF" w:rsidP="005771BF">
            <w:pPr>
              <w:jc w:val="both"/>
              <w:outlineLvl w:val="0"/>
              <w:rPr>
                <w:rFonts w:ascii="Arial" w:eastAsia="Segoe UI Emoji" w:hAnsi="Arial" w:cs="Arial"/>
                <w:sz w:val="24"/>
                <w:szCs w:val="24"/>
              </w:rPr>
            </w:pPr>
            <w:r w:rsidRPr="00AA5390">
              <w:rPr>
                <w:rFonts w:ascii="Arial" w:eastAsia="Segoe UI Emoji" w:hAnsi="Arial" w:cs="Arial"/>
                <w:sz w:val="24"/>
                <w:szCs w:val="24"/>
              </w:rPr>
              <w:t>30-60</w:t>
            </w:r>
          </w:p>
        </w:tc>
        <w:tc>
          <w:tcPr>
            <w:tcW w:w="2052" w:type="dxa"/>
            <w:noWrap/>
            <w:hideMark/>
          </w:tcPr>
          <w:p w:rsidR="005771BF" w:rsidRPr="00AA5390" w:rsidRDefault="005771BF" w:rsidP="001443C4">
            <w:pPr>
              <w:jc w:val="right"/>
              <w:outlineLvl w:val="0"/>
              <w:rPr>
                <w:rFonts w:ascii="Arial" w:eastAsia="Segoe UI Emoji" w:hAnsi="Arial" w:cs="Arial"/>
                <w:sz w:val="24"/>
                <w:szCs w:val="24"/>
              </w:rPr>
            </w:pPr>
            <w:r w:rsidRPr="00AA5390">
              <w:rPr>
                <w:rFonts w:ascii="Arial" w:eastAsia="Segoe UI Emoji" w:hAnsi="Arial" w:cs="Arial"/>
                <w:sz w:val="24"/>
                <w:szCs w:val="24"/>
              </w:rPr>
              <w:t xml:space="preserve">                     </w:t>
            </w:r>
            <w:r w:rsidR="001443C4" w:rsidRPr="00AA5390">
              <w:rPr>
                <w:rFonts w:ascii="Arial" w:eastAsia="Segoe UI Emoji" w:hAnsi="Arial" w:cs="Arial"/>
                <w:sz w:val="24"/>
                <w:szCs w:val="24"/>
              </w:rPr>
              <w:t xml:space="preserve">  </w:t>
            </w:r>
            <w:r w:rsidRPr="00AA5390">
              <w:rPr>
                <w:rFonts w:ascii="Arial" w:eastAsia="Segoe UI Emoji" w:hAnsi="Arial" w:cs="Arial"/>
                <w:sz w:val="24"/>
                <w:szCs w:val="24"/>
              </w:rPr>
              <w:t xml:space="preserve">98 </w:t>
            </w:r>
          </w:p>
        </w:tc>
        <w:tc>
          <w:tcPr>
            <w:tcW w:w="2835" w:type="dxa"/>
            <w:noWrap/>
            <w:hideMark/>
          </w:tcPr>
          <w:p w:rsidR="005771BF" w:rsidRPr="00AA5390" w:rsidRDefault="005771BF" w:rsidP="00C74BA4">
            <w:pPr>
              <w:jc w:val="right"/>
              <w:outlineLvl w:val="0"/>
              <w:rPr>
                <w:rFonts w:ascii="Arial" w:eastAsia="Segoe UI Emoji" w:hAnsi="Arial" w:cs="Arial"/>
                <w:sz w:val="24"/>
                <w:szCs w:val="24"/>
              </w:rPr>
            </w:pPr>
            <w:r w:rsidRPr="00AA5390">
              <w:rPr>
                <w:rFonts w:ascii="Arial" w:eastAsia="Segoe UI Emoji" w:hAnsi="Arial" w:cs="Arial"/>
                <w:sz w:val="24"/>
                <w:szCs w:val="24"/>
              </w:rPr>
              <w:t xml:space="preserve">           5 615 867.06 </w:t>
            </w:r>
          </w:p>
        </w:tc>
      </w:tr>
      <w:tr w:rsidR="00212C1B" w:rsidRPr="00AA5390" w:rsidTr="00C74BA4">
        <w:trPr>
          <w:trHeight w:val="300"/>
        </w:trPr>
        <w:tc>
          <w:tcPr>
            <w:tcW w:w="6487" w:type="dxa"/>
            <w:gridSpan w:val="3"/>
            <w:shd w:val="clear" w:color="auto" w:fill="F2F2F2" w:themeFill="background1" w:themeFillShade="F2"/>
            <w:noWrap/>
          </w:tcPr>
          <w:p w:rsidR="00212C1B" w:rsidRPr="00AA5390" w:rsidRDefault="00212C1B" w:rsidP="00212C1B">
            <w:pPr>
              <w:jc w:val="center"/>
              <w:outlineLvl w:val="0"/>
              <w:rPr>
                <w:rFonts w:ascii="Arial" w:eastAsia="Segoe UI Emoji" w:hAnsi="Arial" w:cs="Arial"/>
                <w:b/>
                <w:sz w:val="24"/>
                <w:szCs w:val="24"/>
              </w:rPr>
            </w:pPr>
            <w:r>
              <w:rPr>
                <w:rFonts w:ascii="Arial" w:eastAsia="Segoe UI Emoji" w:hAnsi="Arial" w:cs="Arial"/>
                <w:b/>
                <w:sz w:val="24"/>
                <w:szCs w:val="24"/>
              </w:rPr>
              <w:t>(b)</w:t>
            </w:r>
          </w:p>
        </w:tc>
      </w:tr>
      <w:tr w:rsidR="00212C1B" w:rsidRPr="00AA5390" w:rsidTr="00C74BA4">
        <w:trPr>
          <w:trHeight w:val="300"/>
        </w:trPr>
        <w:tc>
          <w:tcPr>
            <w:tcW w:w="1600" w:type="dxa"/>
            <w:noWrap/>
          </w:tcPr>
          <w:p w:rsidR="00212C1B" w:rsidRPr="00AA5390" w:rsidRDefault="00212C1B" w:rsidP="005771BF">
            <w:pPr>
              <w:jc w:val="both"/>
              <w:outlineLvl w:val="0"/>
              <w:rPr>
                <w:rFonts w:ascii="Arial" w:eastAsia="Segoe UI Emoji" w:hAnsi="Arial" w:cs="Arial"/>
                <w:b/>
                <w:sz w:val="24"/>
                <w:szCs w:val="24"/>
              </w:rPr>
            </w:pPr>
            <w:r w:rsidRPr="00AA5390">
              <w:rPr>
                <w:rFonts w:ascii="Arial" w:hAnsi="Arial" w:cs="Arial"/>
                <w:sz w:val="24"/>
                <w:szCs w:val="24"/>
              </w:rPr>
              <w:t>61-90</w:t>
            </w:r>
          </w:p>
        </w:tc>
        <w:tc>
          <w:tcPr>
            <w:tcW w:w="2052" w:type="dxa"/>
            <w:noWrap/>
          </w:tcPr>
          <w:p w:rsidR="00212C1B" w:rsidRPr="00AA5390" w:rsidRDefault="00212C1B" w:rsidP="001443C4">
            <w:pPr>
              <w:jc w:val="right"/>
              <w:outlineLvl w:val="0"/>
              <w:rPr>
                <w:rFonts w:ascii="Arial" w:eastAsia="Segoe UI Emoji" w:hAnsi="Arial" w:cs="Arial"/>
                <w:b/>
                <w:sz w:val="24"/>
                <w:szCs w:val="24"/>
              </w:rPr>
            </w:pPr>
            <w:r w:rsidRPr="00AA539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35" w:type="dxa"/>
            <w:noWrap/>
          </w:tcPr>
          <w:p w:rsidR="00212C1B" w:rsidRPr="00AA5390" w:rsidRDefault="00212C1B" w:rsidP="001443C4">
            <w:pPr>
              <w:jc w:val="right"/>
              <w:outlineLvl w:val="0"/>
              <w:rPr>
                <w:rFonts w:ascii="Arial" w:eastAsia="Segoe UI Emoji" w:hAnsi="Arial" w:cs="Arial"/>
                <w:b/>
                <w:sz w:val="24"/>
                <w:szCs w:val="24"/>
              </w:rPr>
            </w:pPr>
            <w:r w:rsidRPr="00AA5390">
              <w:rPr>
                <w:rFonts w:ascii="Arial" w:hAnsi="Arial" w:cs="Arial"/>
                <w:sz w:val="24"/>
                <w:szCs w:val="24"/>
              </w:rPr>
              <w:t>1 807 241.98</w:t>
            </w:r>
          </w:p>
        </w:tc>
      </w:tr>
      <w:tr w:rsidR="00212C1B" w:rsidRPr="00AA5390" w:rsidTr="00C74BA4">
        <w:trPr>
          <w:trHeight w:val="300"/>
        </w:trPr>
        <w:tc>
          <w:tcPr>
            <w:tcW w:w="1600" w:type="dxa"/>
            <w:noWrap/>
          </w:tcPr>
          <w:p w:rsidR="00212C1B" w:rsidRPr="00AA5390" w:rsidRDefault="00212C1B" w:rsidP="005771BF">
            <w:pPr>
              <w:jc w:val="both"/>
              <w:outlineLvl w:val="0"/>
              <w:rPr>
                <w:rFonts w:ascii="Arial" w:eastAsia="Segoe UI Emoji" w:hAnsi="Arial" w:cs="Arial"/>
                <w:b/>
                <w:sz w:val="24"/>
                <w:szCs w:val="24"/>
              </w:rPr>
            </w:pPr>
            <w:r w:rsidRPr="00AA5390">
              <w:rPr>
                <w:rFonts w:ascii="Arial" w:hAnsi="Arial" w:cs="Arial"/>
                <w:sz w:val="24"/>
                <w:szCs w:val="24"/>
              </w:rPr>
              <w:t>91-180</w:t>
            </w:r>
          </w:p>
        </w:tc>
        <w:tc>
          <w:tcPr>
            <w:tcW w:w="2052" w:type="dxa"/>
            <w:noWrap/>
          </w:tcPr>
          <w:p w:rsidR="00212C1B" w:rsidRPr="00212C1B" w:rsidRDefault="00212C1B" w:rsidP="001443C4">
            <w:pPr>
              <w:jc w:val="right"/>
              <w:outlineLvl w:val="0"/>
              <w:rPr>
                <w:rFonts w:ascii="Arial" w:eastAsia="Segoe UI Emoji" w:hAnsi="Arial" w:cs="Arial"/>
                <w:sz w:val="24"/>
                <w:szCs w:val="24"/>
              </w:rPr>
            </w:pPr>
            <w:r w:rsidRPr="00212C1B">
              <w:rPr>
                <w:rFonts w:ascii="Arial" w:eastAsia="Segoe UI Emoji" w:hAnsi="Arial" w:cs="Arial"/>
                <w:sz w:val="24"/>
                <w:szCs w:val="24"/>
              </w:rPr>
              <w:t>24</w:t>
            </w:r>
          </w:p>
        </w:tc>
        <w:tc>
          <w:tcPr>
            <w:tcW w:w="2835" w:type="dxa"/>
            <w:noWrap/>
          </w:tcPr>
          <w:p w:rsidR="00212C1B" w:rsidRPr="00AA5390" w:rsidRDefault="00212C1B" w:rsidP="001443C4">
            <w:pPr>
              <w:jc w:val="right"/>
              <w:outlineLvl w:val="0"/>
              <w:rPr>
                <w:rFonts w:ascii="Arial" w:eastAsia="Segoe UI Emoji" w:hAnsi="Arial" w:cs="Arial"/>
                <w:b/>
                <w:sz w:val="24"/>
                <w:szCs w:val="24"/>
              </w:rPr>
            </w:pPr>
            <w:r w:rsidRPr="00AA5390">
              <w:rPr>
                <w:rFonts w:ascii="Arial" w:hAnsi="Arial" w:cs="Arial"/>
                <w:sz w:val="24"/>
                <w:szCs w:val="24"/>
              </w:rPr>
              <w:t>1 496 044.94</w:t>
            </w:r>
          </w:p>
        </w:tc>
      </w:tr>
      <w:tr w:rsidR="00212C1B" w:rsidRPr="00AA5390" w:rsidTr="00C74BA4">
        <w:trPr>
          <w:trHeight w:val="300"/>
        </w:trPr>
        <w:tc>
          <w:tcPr>
            <w:tcW w:w="1600" w:type="dxa"/>
            <w:noWrap/>
          </w:tcPr>
          <w:p w:rsidR="00212C1B" w:rsidRPr="00AA5390" w:rsidRDefault="00212C1B" w:rsidP="005771BF">
            <w:pPr>
              <w:jc w:val="both"/>
              <w:outlineLvl w:val="0"/>
              <w:rPr>
                <w:rFonts w:ascii="Arial" w:eastAsia="Segoe UI Emoji" w:hAnsi="Arial" w:cs="Arial"/>
                <w:b/>
                <w:sz w:val="24"/>
                <w:szCs w:val="24"/>
              </w:rPr>
            </w:pPr>
            <w:r w:rsidRPr="00AA5390">
              <w:rPr>
                <w:rFonts w:ascii="Arial" w:hAnsi="Arial" w:cs="Arial"/>
                <w:sz w:val="24"/>
                <w:szCs w:val="24"/>
              </w:rPr>
              <w:t>&gt;180</w:t>
            </w:r>
          </w:p>
        </w:tc>
        <w:tc>
          <w:tcPr>
            <w:tcW w:w="2052" w:type="dxa"/>
            <w:noWrap/>
          </w:tcPr>
          <w:p w:rsidR="00212C1B" w:rsidRPr="00212C1B" w:rsidRDefault="00212C1B" w:rsidP="001443C4">
            <w:pPr>
              <w:jc w:val="right"/>
              <w:outlineLvl w:val="0"/>
              <w:rPr>
                <w:rFonts w:ascii="Arial" w:eastAsia="Segoe UI Emoji" w:hAnsi="Arial" w:cs="Arial"/>
                <w:sz w:val="24"/>
                <w:szCs w:val="24"/>
              </w:rPr>
            </w:pPr>
            <w:r w:rsidRPr="00212C1B">
              <w:rPr>
                <w:rFonts w:ascii="Arial" w:eastAsia="Segoe UI Emoji" w:hAnsi="Arial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  <w:noWrap/>
          </w:tcPr>
          <w:p w:rsidR="00212C1B" w:rsidRPr="00C74BA4" w:rsidRDefault="00212C1B" w:rsidP="00C74BA4">
            <w:pPr>
              <w:pStyle w:val="ListParagraph"/>
              <w:numPr>
                <w:ilvl w:val="0"/>
                <w:numId w:val="21"/>
              </w:numPr>
              <w:jc w:val="right"/>
              <w:outlineLvl w:val="0"/>
              <w:rPr>
                <w:rFonts w:ascii="Arial" w:eastAsia="Segoe UI Emoji" w:hAnsi="Arial" w:cs="Arial"/>
                <w:b/>
                <w:sz w:val="24"/>
                <w:szCs w:val="24"/>
              </w:rPr>
            </w:pPr>
            <w:r w:rsidRPr="00C74BA4">
              <w:rPr>
                <w:rFonts w:ascii="Arial" w:hAnsi="Arial" w:cs="Arial"/>
                <w:sz w:val="24"/>
                <w:szCs w:val="24"/>
              </w:rPr>
              <w:t>09.60</w:t>
            </w:r>
          </w:p>
        </w:tc>
      </w:tr>
    </w:tbl>
    <w:p w:rsidR="00C74BA4" w:rsidRDefault="00C74BA4" w:rsidP="00C74BA4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5771BF" w:rsidRPr="00C74BA4" w:rsidRDefault="00C74BA4" w:rsidP="00C74BA4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</w:t>
      </w:r>
      <w:r w:rsidR="005446B8" w:rsidRPr="00C74BA4">
        <w:rPr>
          <w:rFonts w:ascii="Arial" w:hAnsi="Arial" w:cs="Arial"/>
          <w:sz w:val="24"/>
          <w:szCs w:val="24"/>
        </w:rPr>
        <w:t>Please refer to the table below.</w:t>
      </w:r>
    </w:p>
    <w:tbl>
      <w:tblPr>
        <w:tblStyle w:val="TableGrid"/>
        <w:tblW w:w="9889" w:type="dxa"/>
        <w:tblLook w:val="04A0"/>
      </w:tblPr>
      <w:tblGrid>
        <w:gridCol w:w="2802"/>
        <w:gridCol w:w="7087"/>
      </w:tblGrid>
      <w:tr w:rsidR="005771BF" w:rsidRPr="005771BF" w:rsidTr="006A0494">
        <w:tc>
          <w:tcPr>
            <w:tcW w:w="2802" w:type="dxa"/>
            <w:shd w:val="clear" w:color="auto" w:fill="D9D9D9" w:themeFill="background1" w:themeFillShade="D9"/>
          </w:tcPr>
          <w:p w:rsidR="005771BF" w:rsidRPr="005771BF" w:rsidRDefault="005771BF" w:rsidP="005771BF">
            <w:pPr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5771BF">
              <w:rPr>
                <w:rFonts w:ascii="Arial" w:hAnsi="Arial" w:cs="Arial"/>
                <w:b/>
                <w:sz w:val="24"/>
                <w:szCs w:val="24"/>
              </w:rPr>
              <w:t>Reason for non-compliance</w:t>
            </w:r>
          </w:p>
        </w:tc>
        <w:tc>
          <w:tcPr>
            <w:tcW w:w="7087" w:type="dxa"/>
            <w:shd w:val="clear" w:color="auto" w:fill="D9D9D9" w:themeFill="background1" w:themeFillShade="D9"/>
          </w:tcPr>
          <w:p w:rsidR="005771BF" w:rsidRPr="005771BF" w:rsidRDefault="005771BF" w:rsidP="005771BF">
            <w:pPr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5771BF">
              <w:rPr>
                <w:rFonts w:ascii="Arial" w:hAnsi="Arial" w:cs="Arial"/>
                <w:b/>
                <w:sz w:val="24"/>
                <w:szCs w:val="24"/>
              </w:rPr>
              <w:t>Mitigation</w:t>
            </w:r>
          </w:p>
        </w:tc>
      </w:tr>
      <w:tr w:rsidR="005771BF" w:rsidRPr="005771BF" w:rsidTr="006A0494">
        <w:tc>
          <w:tcPr>
            <w:tcW w:w="2802" w:type="dxa"/>
          </w:tcPr>
          <w:p w:rsidR="005771BF" w:rsidRPr="005771BF" w:rsidRDefault="005771BF" w:rsidP="001F638C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771BF">
              <w:rPr>
                <w:rFonts w:ascii="Arial" w:hAnsi="Arial" w:cs="Arial"/>
                <w:sz w:val="24"/>
                <w:szCs w:val="24"/>
              </w:rPr>
              <w:t>The main contributor to the late payment of service providers is lack of proper internal controls which relate to the tracing of the status of a particular invoice</w:t>
            </w:r>
            <w:r w:rsidR="008770AC">
              <w:rPr>
                <w:rFonts w:ascii="Arial" w:hAnsi="Arial" w:cs="Arial"/>
                <w:sz w:val="24"/>
                <w:szCs w:val="24"/>
              </w:rPr>
              <w:t xml:space="preserve"> and supporting documents </w:t>
            </w:r>
            <w:r w:rsidRPr="005771BF">
              <w:rPr>
                <w:rFonts w:ascii="Arial" w:hAnsi="Arial" w:cs="Arial"/>
                <w:sz w:val="24"/>
                <w:szCs w:val="24"/>
              </w:rPr>
              <w:t xml:space="preserve">as </w:t>
            </w:r>
            <w:r w:rsidR="001F638C">
              <w:rPr>
                <w:rFonts w:ascii="Arial" w:hAnsi="Arial" w:cs="Arial"/>
                <w:sz w:val="24"/>
                <w:szCs w:val="24"/>
              </w:rPr>
              <w:t xml:space="preserve">they are </w:t>
            </w:r>
            <w:r w:rsidR="00C74BA4">
              <w:rPr>
                <w:rFonts w:ascii="Arial" w:hAnsi="Arial" w:cs="Arial"/>
                <w:sz w:val="24"/>
                <w:szCs w:val="24"/>
              </w:rPr>
              <w:t xml:space="preserve">processed </w:t>
            </w:r>
            <w:r w:rsidRPr="005771BF">
              <w:rPr>
                <w:rFonts w:ascii="Arial" w:hAnsi="Arial" w:cs="Arial"/>
                <w:sz w:val="24"/>
                <w:szCs w:val="24"/>
              </w:rPr>
              <w:t>through the various verification channels within the Department</w:t>
            </w:r>
            <w:r w:rsidR="008770AC">
              <w:rPr>
                <w:rFonts w:ascii="Arial" w:hAnsi="Arial" w:cs="Arial"/>
                <w:sz w:val="24"/>
                <w:szCs w:val="24"/>
              </w:rPr>
              <w:t xml:space="preserve"> including from </w:t>
            </w:r>
            <w:r w:rsidR="00C74BA4">
              <w:rPr>
                <w:rFonts w:ascii="Arial" w:hAnsi="Arial" w:cs="Arial"/>
                <w:sz w:val="24"/>
                <w:szCs w:val="24"/>
              </w:rPr>
              <w:t>p</w:t>
            </w:r>
            <w:r w:rsidR="008770AC">
              <w:rPr>
                <w:rFonts w:ascii="Arial" w:hAnsi="Arial" w:cs="Arial"/>
                <w:sz w:val="24"/>
                <w:szCs w:val="24"/>
              </w:rPr>
              <w:t>rovince</w:t>
            </w:r>
            <w:r w:rsidR="00C74BA4">
              <w:rPr>
                <w:rFonts w:ascii="Arial" w:hAnsi="Arial" w:cs="Arial"/>
                <w:sz w:val="24"/>
                <w:szCs w:val="24"/>
              </w:rPr>
              <w:t>s</w:t>
            </w:r>
            <w:r w:rsidR="008770AC"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00C74BA4">
              <w:rPr>
                <w:rFonts w:ascii="Arial" w:hAnsi="Arial" w:cs="Arial"/>
                <w:sz w:val="24"/>
                <w:szCs w:val="24"/>
              </w:rPr>
              <w:t>n</w:t>
            </w:r>
            <w:r w:rsidR="008770AC">
              <w:rPr>
                <w:rFonts w:ascii="Arial" w:hAnsi="Arial" w:cs="Arial"/>
                <w:sz w:val="24"/>
                <w:szCs w:val="24"/>
              </w:rPr>
              <w:t xml:space="preserve">ational </w:t>
            </w:r>
            <w:r w:rsidR="00C74BA4">
              <w:rPr>
                <w:rFonts w:ascii="Arial" w:hAnsi="Arial" w:cs="Arial"/>
                <w:sz w:val="24"/>
                <w:szCs w:val="24"/>
              </w:rPr>
              <w:t>o</w:t>
            </w:r>
            <w:r w:rsidR="008770AC">
              <w:rPr>
                <w:rFonts w:ascii="Arial" w:hAnsi="Arial" w:cs="Arial"/>
                <w:sz w:val="24"/>
                <w:szCs w:val="24"/>
              </w:rPr>
              <w:t>ffice</w:t>
            </w:r>
            <w:r w:rsidRPr="005771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5771BF" w:rsidRDefault="005771BF" w:rsidP="00950EC4">
            <w:pPr>
              <w:pStyle w:val="ListParagraph"/>
              <w:numPr>
                <w:ilvl w:val="0"/>
                <w:numId w:val="22"/>
              </w:num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50EC4">
              <w:rPr>
                <w:rFonts w:ascii="Arial" w:hAnsi="Arial" w:cs="Arial"/>
                <w:sz w:val="24"/>
                <w:szCs w:val="24"/>
              </w:rPr>
              <w:t>The Department implemented the invoice tracking system</w:t>
            </w:r>
            <w:r w:rsidR="00C74BA4" w:rsidRPr="00950EC4">
              <w:rPr>
                <w:rFonts w:ascii="Arial" w:hAnsi="Arial" w:cs="Arial"/>
                <w:sz w:val="24"/>
                <w:szCs w:val="24"/>
              </w:rPr>
              <w:t xml:space="preserve"> which </w:t>
            </w:r>
            <w:r w:rsidRPr="00950EC4">
              <w:rPr>
                <w:rFonts w:ascii="Arial" w:hAnsi="Arial" w:cs="Arial"/>
                <w:sz w:val="24"/>
                <w:szCs w:val="24"/>
              </w:rPr>
              <w:t xml:space="preserve">allows for more effective tracing </w:t>
            </w:r>
            <w:r w:rsidR="00C74BA4" w:rsidRPr="00950EC4"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Pr="00950EC4">
              <w:rPr>
                <w:rFonts w:ascii="Arial" w:hAnsi="Arial" w:cs="Arial"/>
                <w:sz w:val="24"/>
                <w:szCs w:val="24"/>
              </w:rPr>
              <w:t xml:space="preserve">the status of invoices as </w:t>
            </w:r>
            <w:r w:rsidR="00950EC4" w:rsidRPr="00950EC4">
              <w:rPr>
                <w:rFonts w:ascii="Arial" w:hAnsi="Arial" w:cs="Arial"/>
                <w:sz w:val="24"/>
                <w:szCs w:val="24"/>
              </w:rPr>
              <w:t xml:space="preserve">they are </w:t>
            </w:r>
            <w:r w:rsidR="00C74BA4" w:rsidRPr="00950EC4">
              <w:rPr>
                <w:rFonts w:ascii="Arial" w:hAnsi="Arial" w:cs="Arial"/>
                <w:sz w:val="24"/>
                <w:szCs w:val="24"/>
              </w:rPr>
              <w:t xml:space="preserve">processed </w:t>
            </w:r>
            <w:r w:rsidRPr="00950EC4">
              <w:rPr>
                <w:rFonts w:ascii="Arial" w:hAnsi="Arial" w:cs="Arial"/>
                <w:sz w:val="24"/>
                <w:szCs w:val="24"/>
              </w:rPr>
              <w:t>through verification channels.</w:t>
            </w:r>
            <w:r w:rsidR="00C74BA4" w:rsidRPr="00950E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0EC4">
              <w:rPr>
                <w:rFonts w:ascii="Arial" w:hAnsi="Arial" w:cs="Arial"/>
                <w:sz w:val="24"/>
                <w:szCs w:val="24"/>
              </w:rPr>
              <w:t xml:space="preserve">The system requires that the Department has one central point </w:t>
            </w:r>
            <w:r w:rsidR="00950EC4" w:rsidRPr="00950EC4"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Pr="00950EC4">
              <w:rPr>
                <w:rFonts w:ascii="Arial" w:hAnsi="Arial" w:cs="Arial"/>
                <w:sz w:val="24"/>
                <w:szCs w:val="24"/>
              </w:rPr>
              <w:t>receiving invoices</w:t>
            </w:r>
            <w:r w:rsidR="00950EC4" w:rsidRPr="00950EC4">
              <w:rPr>
                <w:rFonts w:ascii="Arial" w:hAnsi="Arial" w:cs="Arial"/>
                <w:sz w:val="24"/>
                <w:szCs w:val="24"/>
              </w:rPr>
              <w:t xml:space="preserve">; this </w:t>
            </w:r>
            <w:r w:rsidRPr="00950EC4">
              <w:rPr>
                <w:rFonts w:ascii="Arial" w:hAnsi="Arial" w:cs="Arial"/>
                <w:sz w:val="24"/>
                <w:szCs w:val="24"/>
              </w:rPr>
              <w:t xml:space="preserve">makes </w:t>
            </w:r>
            <w:r w:rsidR="00950EC4" w:rsidRPr="00950EC4">
              <w:rPr>
                <w:rFonts w:ascii="Arial" w:hAnsi="Arial" w:cs="Arial"/>
                <w:sz w:val="24"/>
                <w:szCs w:val="24"/>
              </w:rPr>
              <w:t xml:space="preserve">invoice tracking </w:t>
            </w:r>
            <w:r w:rsidRPr="00950EC4">
              <w:rPr>
                <w:rFonts w:ascii="Arial" w:hAnsi="Arial" w:cs="Arial"/>
                <w:sz w:val="24"/>
                <w:szCs w:val="24"/>
              </w:rPr>
              <w:t>more effective and efficient.</w:t>
            </w:r>
          </w:p>
          <w:p w:rsidR="006A0494" w:rsidRDefault="005771BF" w:rsidP="005771BF">
            <w:pPr>
              <w:pStyle w:val="ListParagraph"/>
              <w:numPr>
                <w:ilvl w:val="0"/>
                <w:numId w:val="22"/>
              </w:num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50EC4">
              <w:rPr>
                <w:rFonts w:ascii="Arial" w:hAnsi="Arial" w:cs="Arial"/>
                <w:sz w:val="24"/>
                <w:szCs w:val="24"/>
              </w:rPr>
              <w:t>Each official on the chain is allocated a time</w:t>
            </w:r>
            <w:r w:rsidR="00C74BA4" w:rsidRPr="00950EC4">
              <w:rPr>
                <w:rFonts w:ascii="Arial" w:hAnsi="Arial" w:cs="Arial"/>
                <w:sz w:val="24"/>
                <w:szCs w:val="24"/>
              </w:rPr>
              <w:t>frame</w:t>
            </w:r>
            <w:r w:rsidRPr="00950EC4">
              <w:rPr>
                <w:rFonts w:ascii="Arial" w:hAnsi="Arial" w:cs="Arial"/>
                <w:sz w:val="24"/>
                <w:szCs w:val="24"/>
              </w:rPr>
              <w:t xml:space="preserve"> to perform </w:t>
            </w:r>
            <w:r w:rsidR="006A0494" w:rsidRPr="00950EC4">
              <w:rPr>
                <w:rFonts w:ascii="Arial" w:hAnsi="Arial" w:cs="Arial"/>
                <w:sz w:val="24"/>
                <w:szCs w:val="24"/>
              </w:rPr>
              <w:t xml:space="preserve">the relevant </w:t>
            </w:r>
            <w:r w:rsidRPr="00950EC4">
              <w:rPr>
                <w:rFonts w:ascii="Arial" w:hAnsi="Arial" w:cs="Arial"/>
                <w:sz w:val="24"/>
                <w:szCs w:val="24"/>
              </w:rPr>
              <w:t>function pertaining to that invoice</w:t>
            </w:r>
            <w:r w:rsidR="006A0494" w:rsidRPr="00950EC4">
              <w:rPr>
                <w:rFonts w:ascii="Arial" w:hAnsi="Arial" w:cs="Arial"/>
                <w:sz w:val="24"/>
                <w:szCs w:val="24"/>
              </w:rPr>
              <w:t xml:space="preserve">. If </w:t>
            </w:r>
            <w:r w:rsidRPr="00950EC4">
              <w:rPr>
                <w:rFonts w:ascii="Arial" w:hAnsi="Arial" w:cs="Arial"/>
                <w:sz w:val="24"/>
                <w:szCs w:val="24"/>
              </w:rPr>
              <w:t xml:space="preserve">there is non-compliance to </w:t>
            </w:r>
            <w:r w:rsidR="006A0494" w:rsidRPr="00950EC4">
              <w:rPr>
                <w:rFonts w:ascii="Arial" w:hAnsi="Arial" w:cs="Arial"/>
                <w:sz w:val="24"/>
                <w:szCs w:val="24"/>
              </w:rPr>
              <w:t>timeframes</w:t>
            </w:r>
            <w:r w:rsidRPr="00950EC4">
              <w:rPr>
                <w:rFonts w:ascii="Arial" w:hAnsi="Arial" w:cs="Arial"/>
                <w:sz w:val="24"/>
                <w:szCs w:val="24"/>
              </w:rPr>
              <w:t>, the system escalate</w:t>
            </w:r>
            <w:r w:rsidR="006A0494" w:rsidRPr="00950EC4">
              <w:rPr>
                <w:rFonts w:ascii="Arial" w:hAnsi="Arial" w:cs="Arial"/>
                <w:sz w:val="24"/>
                <w:szCs w:val="24"/>
              </w:rPr>
              <w:t>s</w:t>
            </w:r>
            <w:r w:rsidRPr="00950EC4">
              <w:rPr>
                <w:rFonts w:ascii="Arial" w:hAnsi="Arial" w:cs="Arial"/>
                <w:sz w:val="24"/>
                <w:szCs w:val="24"/>
              </w:rPr>
              <w:t xml:space="preserve"> the matter to the next level of authority</w:t>
            </w:r>
            <w:r w:rsidR="006A0494" w:rsidRPr="00950EC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D6D43" w:rsidRPr="00950EC4" w:rsidRDefault="00DD6D43" w:rsidP="005771BF">
            <w:pPr>
              <w:pStyle w:val="ListParagraph"/>
              <w:numPr>
                <w:ilvl w:val="0"/>
                <w:numId w:val="22"/>
              </w:num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50EC4">
              <w:rPr>
                <w:rFonts w:ascii="Arial" w:hAnsi="Arial" w:cs="Arial"/>
                <w:sz w:val="24"/>
                <w:szCs w:val="24"/>
                <w:lang w:val="en-GB"/>
              </w:rPr>
              <w:t xml:space="preserve">Change management sessions with all internal stakeholders will be conducted </w:t>
            </w:r>
            <w:r w:rsidR="006A0494" w:rsidRPr="00950EC4">
              <w:rPr>
                <w:rFonts w:ascii="Arial" w:hAnsi="Arial" w:cs="Arial"/>
                <w:sz w:val="24"/>
                <w:szCs w:val="24"/>
                <w:lang w:val="en-GB"/>
              </w:rPr>
              <w:t xml:space="preserve">through the </w:t>
            </w:r>
            <w:r w:rsidRPr="00950EC4">
              <w:rPr>
                <w:rFonts w:ascii="Arial" w:hAnsi="Arial" w:cs="Arial"/>
                <w:sz w:val="24"/>
                <w:szCs w:val="24"/>
                <w:lang w:val="en-GB"/>
              </w:rPr>
              <w:t>Corporate Services Branch.</w:t>
            </w:r>
          </w:p>
          <w:p w:rsidR="00950EC4" w:rsidRDefault="006A0494" w:rsidP="005771BF">
            <w:pPr>
              <w:pStyle w:val="ListParagraph"/>
              <w:numPr>
                <w:ilvl w:val="0"/>
                <w:numId w:val="22"/>
              </w:num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50EC4">
              <w:rPr>
                <w:rFonts w:ascii="Arial" w:hAnsi="Arial" w:cs="Arial"/>
                <w:sz w:val="24"/>
                <w:szCs w:val="24"/>
              </w:rPr>
              <w:t>Officials’ performance agreements include the payment of invoices within 30 days as a key performance area on which performance is assessed.</w:t>
            </w:r>
            <w:r w:rsidR="00950EC4" w:rsidRPr="00950EC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50EC4" w:rsidRDefault="005771BF" w:rsidP="001F638C">
            <w:pPr>
              <w:pStyle w:val="ListParagraph"/>
              <w:numPr>
                <w:ilvl w:val="0"/>
                <w:numId w:val="22"/>
              </w:num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50EC4">
              <w:rPr>
                <w:rFonts w:ascii="Arial" w:hAnsi="Arial" w:cs="Arial"/>
                <w:sz w:val="24"/>
                <w:szCs w:val="24"/>
              </w:rPr>
              <w:t xml:space="preserve">Officials found to be </w:t>
            </w:r>
            <w:r w:rsidR="006A0494" w:rsidRPr="00950EC4">
              <w:rPr>
                <w:rFonts w:ascii="Arial" w:hAnsi="Arial" w:cs="Arial"/>
                <w:sz w:val="24"/>
                <w:szCs w:val="24"/>
              </w:rPr>
              <w:t xml:space="preserve">non-compliant </w:t>
            </w:r>
            <w:r w:rsidRPr="00950EC4">
              <w:rPr>
                <w:rFonts w:ascii="Arial" w:hAnsi="Arial" w:cs="Arial"/>
                <w:sz w:val="24"/>
                <w:szCs w:val="24"/>
              </w:rPr>
              <w:t>are issued with letters of non-compliance as a punitive measure</w:t>
            </w:r>
            <w:r w:rsidR="006A0494" w:rsidRPr="00950EC4">
              <w:rPr>
                <w:rFonts w:ascii="Arial" w:hAnsi="Arial" w:cs="Arial"/>
                <w:sz w:val="24"/>
                <w:szCs w:val="24"/>
              </w:rPr>
              <w:t xml:space="preserve"> and to alert officials of </w:t>
            </w:r>
            <w:r w:rsidRPr="00950EC4">
              <w:rPr>
                <w:rFonts w:ascii="Arial" w:hAnsi="Arial" w:cs="Arial"/>
                <w:sz w:val="24"/>
                <w:szCs w:val="24"/>
              </w:rPr>
              <w:t>their responsibility in ensuring compliance to the 30 days’ requirement</w:t>
            </w:r>
            <w:r w:rsidR="006A0494" w:rsidRPr="00950EC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F638C" w:rsidRPr="001F638C" w:rsidRDefault="001F638C" w:rsidP="001F638C">
            <w:pPr>
              <w:pStyle w:val="ListParagraph"/>
              <w:ind w:left="36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0B7E81" w:rsidSect="006A0494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7FD4"/>
    <w:multiLevelType w:val="hybridMultilevel"/>
    <w:tmpl w:val="CF56A7B2"/>
    <w:lvl w:ilvl="0" w:tplc="7B5289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D6A75"/>
    <w:multiLevelType w:val="hybridMultilevel"/>
    <w:tmpl w:val="E0D4B230"/>
    <w:lvl w:ilvl="0" w:tplc="F53810E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FE2F83"/>
    <w:multiLevelType w:val="hybridMultilevel"/>
    <w:tmpl w:val="6CD23784"/>
    <w:lvl w:ilvl="0" w:tplc="17DA4DC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EB1CB3"/>
    <w:multiLevelType w:val="hybridMultilevel"/>
    <w:tmpl w:val="AD02D93C"/>
    <w:lvl w:ilvl="0" w:tplc="D422B8DE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54756"/>
    <w:multiLevelType w:val="hybridMultilevel"/>
    <w:tmpl w:val="26AAD294"/>
    <w:lvl w:ilvl="0" w:tplc="93CED41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B57CAC"/>
    <w:multiLevelType w:val="hybridMultilevel"/>
    <w:tmpl w:val="EF982808"/>
    <w:lvl w:ilvl="0" w:tplc="031A79D2">
      <w:start w:val="20"/>
      <w:numFmt w:val="decimal"/>
      <w:lvlText w:val="%1"/>
      <w:lvlJc w:val="left"/>
      <w:pPr>
        <w:ind w:left="720" w:hanging="360"/>
      </w:pPr>
      <w:rPr>
        <w:rFonts w:eastAsiaTheme="minorHAnsi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A7FEF"/>
    <w:multiLevelType w:val="hybridMultilevel"/>
    <w:tmpl w:val="6F20AD3E"/>
    <w:lvl w:ilvl="0" w:tplc="224E8B0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D61B15"/>
    <w:multiLevelType w:val="hybridMultilevel"/>
    <w:tmpl w:val="B4EEB45A"/>
    <w:lvl w:ilvl="0" w:tplc="CA06CE8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530115"/>
    <w:multiLevelType w:val="hybridMultilevel"/>
    <w:tmpl w:val="CE287C72"/>
    <w:lvl w:ilvl="0" w:tplc="897CE9B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2E4670"/>
    <w:multiLevelType w:val="hybridMultilevel"/>
    <w:tmpl w:val="AF6AFE0A"/>
    <w:lvl w:ilvl="0" w:tplc="BBD46D12">
      <w:start w:val="1"/>
      <w:numFmt w:val="decimal"/>
      <w:lvlText w:val="(%1)"/>
      <w:lvlJc w:val="left"/>
      <w:pPr>
        <w:ind w:left="1440" w:hanging="720"/>
      </w:pPr>
      <w:rPr>
        <w:rFonts w:eastAsia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5165DD"/>
    <w:multiLevelType w:val="hybridMultilevel"/>
    <w:tmpl w:val="4CC0B6F2"/>
    <w:lvl w:ilvl="0" w:tplc="37A296A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F75A71"/>
    <w:multiLevelType w:val="hybridMultilevel"/>
    <w:tmpl w:val="A5622F9C"/>
    <w:lvl w:ilvl="0" w:tplc="224E8B0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EC7F37"/>
    <w:multiLevelType w:val="hybridMultilevel"/>
    <w:tmpl w:val="0A500A48"/>
    <w:lvl w:ilvl="0" w:tplc="D35884E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7B6FCE"/>
    <w:multiLevelType w:val="hybridMultilevel"/>
    <w:tmpl w:val="715AFF8C"/>
    <w:lvl w:ilvl="0" w:tplc="A0845A4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961987"/>
    <w:multiLevelType w:val="hybridMultilevel"/>
    <w:tmpl w:val="7EF4D1CA"/>
    <w:lvl w:ilvl="0" w:tplc="952AFDEA">
      <w:start w:val="9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A066BEE"/>
    <w:multiLevelType w:val="hybridMultilevel"/>
    <w:tmpl w:val="17321F68"/>
    <w:lvl w:ilvl="0" w:tplc="0B286C6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7630DA"/>
    <w:multiLevelType w:val="hybridMultilevel"/>
    <w:tmpl w:val="6DD4D7FA"/>
    <w:lvl w:ilvl="0" w:tplc="A066D0D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DA311B"/>
    <w:multiLevelType w:val="hybridMultilevel"/>
    <w:tmpl w:val="F0F21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4A1A4C"/>
    <w:multiLevelType w:val="hybridMultilevel"/>
    <w:tmpl w:val="776A99E8"/>
    <w:lvl w:ilvl="0" w:tplc="FDD45E3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C8132B"/>
    <w:multiLevelType w:val="hybridMultilevel"/>
    <w:tmpl w:val="1AE2CA1E"/>
    <w:lvl w:ilvl="0" w:tplc="8D72E0F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FE15A4"/>
    <w:multiLevelType w:val="hybridMultilevel"/>
    <w:tmpl w:val="BEC2AC4C"/>
    <w:lvl w:ilvl="0" w:tplc="F982943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B05A9C"/>
    <w:multiLevelType w:val="hybridMultilevel"/>
    <w:tmpl w:val="B80084FE"/>
    <w:lvl w:ilvl="0" w:tplc="B0646EB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20"/>
  </w:num>
  <w:num w:numId="5">
    <w:abstractNumId w:val="3"/>
  </w:num>
  <w:num w:numId="6">
    <w:abstractNumId w:val="12"/>
  </w:num>
  <w:num w:numId="7">
    <w:abstractNumId w:val="21"/>
  </w:num>
  <w:num w:numId="8">
    <w:abstractNumId w:val="1"/>
  </w:num>
  <w:num w:numId="9">
    <w:abstractNumId w:val="10"/>
  </w:num>
  <w:num w:numId="10">
    <w:abstractNumId w:val="19"/>
  </w:num>
  <w:num w:numId="11">
    <w:abstractNumId w:val="13"/>
  </w:num>
  <w:num w:numId="12">
    <w:abstractNumId w:val="2"/>
  </w:num>
  <w:num w:numId="13">
    <w:abstractNumId w:val="9"/>
  </w:num>
  <w:num w:numId="14">
    <w:abstractNumId w:val="18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7"/>
  </w:num>
  <w:num w:numId="20">
    <w:abstractNumId w:val="0"/>
  </w:num>
  <w:num w:numId="21">
    <w:abstractNumId w:val="5"/>
  </w:num>
  <w:num w:numId="22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33A8"/>
    <w:rsid w:val="000015F5"/>
    <w:rsid w:val="00005B4C"/>
    <w:rsid w:val="00010DF9"/>
    <w:rsid w:val="000126A4"/>
    <w:rsid w:val="00030CD2"/>
    <w:rsid w:val="00032651"/>
    <w:rsid w:val="00033FB6"/>
    <w:rsid w:val="000368F2"/>
    <w:rsid w:val="0006729B"/>
    <w:rsid w:val="000768E6"/>
    <w:rsid w:val="00076CD1"/>
    <w:rsid w:val="000808A3"/>
    <w:rsid w:val="0009330F"/>
    <w:rsid w:val="000950D1"/>
    <w:rsid w:val="000A3D83"/>
    <w:rsid w:val="000A7018"/>
    <w:rsid w:val="000B09DE"/>
    <w:rsid w:val="000B0A91"/>
    <w:rsid w:val="000B57DE"/>
    <w:rsid w:val="000B7E81"/>
    <w:rsid w:val="000C56A8"/>
    <w:rsid w:val="000E1870"/>
    <w:rsid w:val="000F0921"/>
    <w:rsid w:val="00101158"/>
    <w:rsid w:val="00112595"/>
    <w:rsid w:val="001168CA"/>
    <w:rsid w:val="00122668"/>
    <w:rsid w:val="001304CF"/>
    <w:rsid w:val="00137772"/>
    <w:rsid w:val="00141744"/>
    <w:rsid w:val="00143147"/>
    <w:rsid w:val="001443C4"/>
    <w:rsid w:val="0015243C"/>
    <w:rsid w:val="00154941"/>
    <w:rsid w:val="001653A5"/>
    <w:rsid w:val="00173910"/>
    <w:rsid w:val="00183788"/>
    <w:rsid w:val="001B7997"/>
    <w:rsid w:val="001D012E"/>
    <w:rsid w:val="001D3245"/>
    <w:rsid w:val="001D3373"/>
    <w:rsid w:val="001D5C1B"/>
    <w:rsid w:val="001D76F9"/>
    <w:rsid w:val="001E1CEE"/>
    <w:rsid w:val="001E7DD3"/>
    <w:rsid w:val="001F4174"/>
    <w:rsid w:val="001F5771"/>
    <w:rsid w:val="001F638C"/>
    <w:rsid w:val="00212C1B"/>
    <w:rsid w:val="002146A3"/>
    <w:rsid w:val="0021572E"/>
    <w:rsid w:val="0022655D"/>
    <w:rsid w:val="00234BE4"/>
    <w:rsid w:val="002355A7"/>
    <w:rsid w:val="002478B0"/>
    <w:rsid w:val="00280CDD"/>
    <w:rsid w:val="00290E28"/>
    <w:rsid w:val="00297E5F"/>
    <w:rsid w:val="002A00D0"/>
    <w:rsid w:val="002C5DC3"/>
    <w:rsid w:val="002D7DCF"/>
    <w:rsid w:val="002E0C58"/>
    <w:rsid w:val="002F31C6"/>
    <w:rsid w:val="0031187C"/>
    <w:rsid w:val="003121C9"/>
    <w:rsid w:val="003143D9"/>
    <w:rsid w:val="003216AC"/>
    <w:rsid w:val="003409CC"/>
    <w:rsid w:val="0034601D"/>
    <w:rsid w:val="00346DCF"/>
    <w:rsid w:val="00347028"/>
    <w:rsid w:val="003604A7"/>
    <w:rsid w:val="00360917"/>
    <w:rsid w:val="0037725D"/>
    <w:rsid w:val="00385406"/>
    <w:rsid w:val="003867A6"/>
    <w:rsid w:val="00393ED4"/>
    <w:rsid w:val="003A0A36"/>
    <w:rsid w:val="003A1F7A"/>
    <w:rsid w:val="003A29AA"/>
    <w:rsid w:val="003A3A32"/>
    <w:rsid w:val="003C11E4"/>
    <w:rsid w:val="003D1330"/>
    <w:rsid w:val="003D548B"/>
    <w:rsid w:val="003E310F"/>
    <w:rsid w:val="003E425A"/>
    <w:rsid w:val="003F27D2"/>
    <w:rsid w:val="004031A4"/>
    <w:rsid w:val="004034CA"/>
    <w:rsid w:val="00412A28"/>
    <w:rsid w:val="00416746"/>
    <w:rsid w:val="00420BA1"/>
    <w:rsid w:val="004236B2"/>
    <w:rsid w:val="00424059"/>
    <w:rsid w:val="0042523B"/>
    <w:rsid w:val="0042560E"/>
    <w:rsid w:val="00427162"/>
    <w:rsid w:val="00431D0C"/>
    <w:rsid w:val="0044241E"/>
    <w:rsid w:val="0044699A"/>
    <w:rsid w:val="004502CE"/>
    <w:rsid w:val="004521E7"/>
    <w:rsid w:val="00456125"/>
    <w:rsid w:val="00473A47"/>
    <w:rsid w:val="00475929"/>
    <w:rsid w:val="004835D2"/>
    <w:rsid w:val="00485314"/>
    <w:rsid w:val="004877BD"/>
    <w:rsid w:val="004A38A0"/>
    <w:rsid w:val="004A6DEA"/>
    <w:rsid w:val="004B23D6"/>
    <w:rsid w:val="004B6CE7"/>
    <w:rsid w:val="004C2EBF"/>
    <w:rsid w:val="004C4BDE"/>
    <w:rsid w:val="004C5DCF"/>
    <w:rsid w:val="004C636E"/>
    <w:rsid w:val="004C721E"/>
    <w:rsid w:val="004F25D4"/>
    <w:rsid w:val="004F33BF"/>
    <w:rsid w:val="004F452F"/>
    <w:rsid w:val="004F4F02"/>
    <w:rsid w:val="004F6749"/>
    <w:rsid w:val="005057D6"/>
    <w:rsid w:val="00511BE9"/>
    <w:rsid w:val="00512497"/>
    <w:rsid w:val="00536728"/>
    <w:rsid w:val="005446B8"/>
    <w:rsid w:val="00554B5D"/>
    <w:rsid w:val="00556504"/>
    <w:rsid w:val="0056490D"/>
    <w:rsid w:val="00567BDA"/>
    <w:rsid w:val="005771BF"/>
    <w:rsid w:val="0058378C"/>
    <w:rsid w:val="00593B26"/>
    <w:rsid w:val="005A6CE2"/>
    <w:rsid w:val="005B0567"/>
    <w:rsid w:val="005B1644"/>
    <w:rsid w:val="005C6330"/>
    <w:rsid w:val="005C7255"/>
    <w:rsid w:val="005C7CAD"/>
    <w:rsid w:val="005D29E0"/>
    <w:rsid w:val="005D6E12"/>
    <w:rsid w:val="005F30F3"/>
    <w:rsid w:val="005F5053"/>
    <w:rsid w:val="005F5E0D"/>
    <w:rsid w:val="0060380D"/>
    <w:rsid w:val="006102B9"/>
    <w:rsid w:val="00612F05"/>
    <w:rsid w:val="00616333"/>
    <w:rsid w:val="006172DD"/>
    <w:rsid w:val="0062079E"/>
    <w:rsid w:val="00631065"/>
    <w:rsid w:val="00631E49"/>
    <w:rsid w:val="0063216C"/>
    <w:rsid w:val="006362A0"/>
    <w:rsid w:val="006515DA"/>
    <w:rsid w:val="0066022A"/>
    <w:rsid w:val="00661A1E"/>
    <w:rsid w:val="00665264"/>
    <w:rsid w:val="00667C44"/>
    <w:rsid w:val="00667CFA"/>
    <w:rsid w:val="00667FFA"/>
    <w:rsid w:val="00677FBF"/>
    <w:rsid w:val="00687C52"/>
    <w:rsid w:val="00695C3D"/>
    <w:rsid w:val="00697BA5"/>
    <w:rsid w:val="006A0159"/>
    <w:rsid w:val="006A0494"/>
    <w:rsid w:val="006A2F95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6E7F"/>
    <w:rsid w:val="00730EBE"/>
    <w:rsid w:val="007457D6"/>
    <w:rsid w:val="00751CFE"/>
    <w:rsid w:val="007A557F"/>
    <w:rsid w:val="007C43AC"/>
    <w:rsid w:val="007C5DF5"/>
    <w:rsid w:val="007E3A5F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15EE5"/>
    <w:rsid w:val="00820FBB"/>
    <w:rsid w:val="0082253A"/>
    <w:rsid w:val="00827468"/>
    <w:rsid w:val="008317A9"/>
    <w:rsid w:val="008328A6"/>
    <w:rsid w:val="00850FCB"/>
    <w:rsid w:val="0085212C"/>
    <w:rsid w:val="00854733"/>
    <w:rsid w:val="00876248"/>
    <w:rsid w:val="008770AC"/>
    <w:rsid w:val="00877601"/>
    <w:rsid w:val="00877FFE"/>
    <w:rsid w:val="00890974"/>
    <w:rsid w:val="008966A1"/>
    <w:rsid w:val="008A2C9C"/>
    <w:rsid w:val="008A4FB7"/>
    <w:rsid w:val="008A5D51"/>
    <w:rsid w:val="008B4183"/>
    <w:rsid w:val="008B4F52"/>
    <w:rsid w:val="008B5050"/>
    <w:rsid w:val="008D3AF8"/>
    <w:rsid w:val="008D7836"/>
    <w:rsid w:val="008E686A"/>
    <w:rsid w:val="008F1E1B"/>
    <w:rsid w:val="008F22DD"/>
    <w:rsid w:val="008F3012"/>
    <w:rsid w:val="008F7745"/>
    <w:rsid w:val="00901E7D"/>
    <w:rsid w:val="00902BA5"/>
    <w:rsid w:val="009078FB"/>
    <w:rsid w:val="009105EA"/>
    <w:rsid w:val="009121A3"/>
    <w:rsid w:val="00924313"/>
    <w:rsid w:val="00933828"/>
    <w:rsid w:val="00933D88"/>
    <w:rsid w:val="009457EF"/>
    <w:rsid w:val="00950EC4"/>
    <w:rsid w:val="00956AE7"/>
    <w:rsid w:val="009621BB"/>
    <w:rsid w:val="0097678F"/>
    <w:rsid w:val="009823D6"/>
    <w:rsid w:val="00995E51"/>
    <w:rsid w:val="009A133D"/>
    <w:rsid w:val="009B00AA"/>
    <w:rsid w:val="009C1DC2"/>
    <w:rsid w:val="009D5720"/>
    <w:rsid w:val="009E7F7A"/>
    <w:rsid w:val="009F0324"/>
    <w:rsid w:val="009F69BF"/>
    <w:rsid w:val="00A061B1"/>
    <w:rsid w:val="00A11407"/>
    <w:rsid w:val="00A12546"/>
    <w:rsid w:val="00A5099E"/>
    <w:rsid w:val="00A5760D"/>
    <w:rsid w:val="00A757DA"/>
    <w:rsid w:val="00A811CD"/>
    <w:rsid w:val="00A90126"/>
    <w:rsid w:val="00A908B8"/>
    <w:rsid w:val="00AA440F"/>
    <w:rsid w:val="00AA5390"/>
    <w:rsid w:val="00AA7EF8"/>
    <w:rsid w:val="00AA7F90"/>
    <w:rsid w:val="00AB204B"/>
    <w:rsid w:val="00AC01E8"/>
    <w:rsid w:val="00AE3B9A"/>
    <w:rsid w:val="00AF29BA"/>
    <w:rsid w:val="00AF5D3E"/>
    <w:rsid w:val="00B01282"/>
    <w:rsid w:val="00B125DB"/>
    <w:rsid w:val="00B23562"/>
    <w:rsid w:val="00B27A1B"/>
    <w:rsid w:val="00B33396"/>
    <w:rsid w:val="00B35E24"/>
    <w:rsid w:val="00B47578"/>
    <w:rsid w:val="00B71E7C"/>
    <w:rsid w:val="00B72514"/>
    <w:rsid w:val="00B8633E"/>
    <w:rsid w:val="00B97E5C"/>
    <w:rsid w:val="00BB0024"/>
    <w:rsid w:val="00BB2068"/>
    <w:rsid w:val="00BB2FDE"/>
    <w:rsid w:val="00BC2F11"/>
    <w:rsid w:val="00C051D6"/>
    <w:rsid w:val="00C120FE"/>
    <w:rsid w:val="00C123AE"/>
    <w:rsid w:val="00C14953"/>
    <w:rsid w:val="00C358F6"/>
    <w:rsid w:val="00C366DC"/>
    <w:rsid w:val="00C47238"/>
    <w:rsid w:val="00C7139C"/>
    <w:rsid w:val="00C74BA4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E037B"/>
    <w:rsid w:val="00CE5507"/>
    <w:rsid w:val="00CF0BA2"/>
    <w:rsid w:val="00CF7215"/>
    <w:rsid w:val="00D0368D"/>
    <w:rsid w:val="00D03AAF"/>
    <w:rsid w:val="00D16E3E"/>
    <w:rsid w:val="00D17A5F"/>
    <w:rsid w:val="00D4758D"/>
    <w:rsid w:val="00D66976"/>
    <w:rsid w:val="00D67FFE"/>
    <w:rsid w:val="00D767A4"/>
    <w:rsid w:val="00D850B2"/>
    <w:rsid w:val="00D86E2C"/>
    <w:rsid w:val="00D87A79"/>
    <w:rsid w:val="00D97EFF"/>
    <w:rsid w:val="00DC48AF"/>
    <w:rsid w:val="00DC73B8"/>
    <w:rsid w:val="00DD0909"/>
    <w:rsid w:val="00DD3420"/>
    <w:rsid w:val="00DD380D"/>
    <w:rsid w:val="00DD6D43"/>
    <w:rsid w:val="00DE05D5"/>
    <w:rsid w:val="00DE3398"/>
    <w:rsid w:val="00DE4549"/>
    <w:rsid w:val="00DF08C3"/>
    <w:rsid w:val="00DF79A4"/>
    <w:rsid w:val="00E00592"/>
    <w:rsid w:val="00E01540"/>
    <w:rsid w:val="00E129D5"/>
    <w:rsid w:val="00E1432C"/>
    <w:rsid w:val="00E159FD"/>
    <w:rsid w:val="00E36039"/>
    <w:rsid w:val="00E3774C"/>
    <w:rsid w:val="00E4020A"/>
    <w:rsid w:val="00E433A8"/>
    <w:rsid w:val="00E55957"/>
    <w:rsid w:val="00E648A4"/>
    <w:rsid w:val="00E82455"/>
    <w:rsid w:val="00E94873"/>
    <w:rsid w:val="00E96F22"/>
    <w:rsid w:val="00EB298B"/>
    <w:rsid w:val="00EB5DF3"/>
    <w:rsid w:val="00EC6216"/>
    <w:rsid w:val="00EE534B"/>
    <w:rsid w:val="00EE5915"/>
    <w:rsid w:val="00EF1D88"/>
    <w:rsid w:val="00EF468C"/>
    <w:rsid w:val="00EF4DD8"/>
    <w:rsid w:val="00F10306"/>
    <w:rsid w:val="00F24EA3"/>
    <w:rsid w:val="00F33DE3"/>
    <w:rsid w:val="00F346B2"/>
    <w:rsid w:val="00F41D98"/>
    <w:rsid w:val="00F448C5"/>
    <w:rsid w:val="00F515CF"/>
    <w:rsid w:val="00F6615B"/>
    <w:rsid w:val="00F8320C"/>
    <w:rsid w:val="00F832DB"/>
    <w:rsid w:val="00F83BBF"/>
    <w:rsid w:val="00F87BF1"/>
    <w:rsid w:val="00F973DE"/>
    <w:rsid w:val="00FA2B35"/>
    <w:rsid w:val="00FA4F67"/>
    <w:rsid w:val="00FA5553"/>
    <w:rsid w:val="00FB08ED"/>
    <w:rsid w:val="00FB0C30"/>
    <w:rsid w:val="00FB1669"/>
    <w:rsid w:val="00FC54FF"/>
    <w:rsid w:val="00FC653F"/>
    <w:rsid w:val="00FD068D"/>
    <w:rsid w:val="00FD7F03"/>
    <w:rsid w:val="00FE21FB"/>
    <w:rsid w:val="00FE50A9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42560E"/>
  </w:style>
  <w:style w:type="table" w:styleId="TableGrid">
    <w:name w:val="Table Grid"/>
    <w:basedOn w:val="TableNormal"/>
    <w:uiPriority w:val="59"/>
    <w:rsid w:val="00577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4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B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4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13512-8ED5-497D-B084-241547FB0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2020-06-30T08:38:00Z</cp:lastPrinted>
  <dcterms:created xsi:type="dcterms:W3CDTF">2021-01-24T15:48:00Z</dcterms:created>
  <dcterms:modified xsi:type="dcterms:W3CDTF">2021-01-24T15:48:00Z</dcterms:modified>
</cp:coreProperties>
</file>