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76205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131</w:t>
      </w:r>
      <w:r w:rsidR="00770484">
        <w:rPr>
          <w:b/>
          <w:sz w:val="24"/>
          <w:szCs w:val="24"/>
          <w:lang w:val="af-ZA"/>
        </w:rPr>
        <w:t>5</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D316EC">
        <w:rPr>
          <w:b/>
          <w:sz w:val="24"/>
          <w:szCs w:val="24"/>
        </w:rPr>
        <w:t>1</w:t>
      </w:r>
      <w:r w:rsidR="008E593B">
        <w:rPr>
          <w:b/>
          <w:sz w:val="24"/>
          <w:szCs w:val="24"/>
        </w:rPr>
        <w:t>9</w:t>
      </w:r>
      <w:r w:rsidR="00D316EC">
        <w:rPr>
          <w:b/>
          <w:sz w:val="24"/>
          <w:szCs w:val="24"/>
        </w:rPr>
        <w:t xml:space="preserve"> MAY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770484" w:rsidRPr="009926DF" w:rsidRDefault="00770484" w:rsidP="00770484">
      <w:pPr>
        <w:spacing w:after="267" w:line="249" w:lineRule="auto"/>
        <w:ind w:left="818" w:hanging="818"/>
        <w:rPr>
          <w:b/>
          <w:sz w:val="24"/>
          <w:szCs w:val="24"/>
        </w:rPr>
      </w:pPr>
      <w:r w:rsidRPr="009926DF">
        <w:rPr>
          <w:b/>
          <w:sz w:val="24"/>
          <w:szCs w:val="24"/>
        </w:rPr>
        <w:t>Mr M S Malatsi (DA) to ask the Minister of Human Settlements:</w:t>
      </w:r>
    </w:p>
    <w:p w:rsidR="00770484" w:rsidRPr="00A94573" w:rsidRDefault="00770484" w:rsidP="00770484">
      <w:pPr>
        <w:spacing w:line="360" w:lineRule="auto"/>
        <w:jc w:val="both"/>
        <w:outlineLvl w:val="0"/>
      </w:pPr>
      <w:r w:rsidRPr="00686CA3">
        <w:rPr>
          <w:sz w:val="24"/>
          <w:szCs w:val="24"/>
        </w:rPr>
        <w:t>What (a) are the names of companies or contractors who have been (i) blacklisted, (ii) suspended and/or (iii) penalised for poor workmanship, failure to deliver projects on time and any other reason, in each provincial department of human settlements in each of the past three financial years and (b) was the (i) size and (ii) type of penalty in each case?</w:t>
      </w:r>
      <w:r w:rsidRPr="00A94573">
        <w:rPr>
          <w:noProof/>
          <w:lang w:val="af-ZA"/>
        </w:rPr>
        <w:tab/>
      </w:r>
      <w:r>
        <w:rPr>
          <w:noProof/>
          <w:lang w:val="af-ZA"/>
        </w:rPr>
        <w:tab/>
      </w:r>
      <w:r>
        <w:rPr>
          <w:noProof/>
          <w:lang w:val="af-ZA"/>
        </w:rPr>
        <w:tab/>
      </w:r>
      <w:r>
        <w:rPr>
          <w:noProof/>
          <w:lang w:val="af-ZA"/>
        </w:rPr>
        <w:tab/>
      </w:r>
      <w:r>
        <w:rPr>
          <w:noProof/>
          <w:lang w:val="af-ZA"/>
        </w:rPr>
        <w:tab/>
      </w:r>
      <w:r>
        <w:rPr>
          <w:noProof/>
          <w:lang w:val="af-ZA"/>
        </w:rPr>
        <w:tab/>
      </w:r>
      <w:r>
        <w:rPr>
          <w:noProof/>
          <w:lang w:val="af-ZA"/>
        </w:rPr>
        <w:tab/>
        <w:t xml:space="preserve">         </w:t>
      </w:r>
      <w:r w:rsidRPr="00A94573">
        <w:t>NW1457E</w:t>
      </w:r>
    </w:p>
    <w:p w:rsidR="00F363E4" w:rsidRPr="00F3387B" w:rsidRDefault="00895D3F" w:rsidP="00FF6368">
      <w:pPr>
        <w:pStyle w:val="ListParagraph"/>
        <w:spacing w:before="100" w:beforeAutospacing="1" w:after="100" w:afterAutospacing="1" w:line="360" w:lineRule="auto"/>
        <w:ind w:left="0"/>
        <w:jc w:val="both"/>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1A5AA9" w:rsidRPr="005A48E4" w:rsidRDefault="001A5AA9" w:rsidP="001A5AA9">
      <w:pPr>
        <w:spacing w:line="336" w:lineRule="auto"/>
        <w:jc w:val="both"/>
        <w:rPr>
          <w:b/>
          <w:sz w:val="24"/>
          <w:szCs w:val="24"/>
        </w:rPr>
      </w:pPr>
      <w:r w:rsidRPr="005A48E4">
        <w:rPr>
          <w:sz w:val="24"/>
          <w:szCs w:val="24"/>
          <w:lang w:val="en-ZA"/>
        </w:rPr>
        <w:t>Honourable Member, in accordance with the established practise applicable to parliamentary questions and guidelines contained in the document</w:t>
      </w:r>
      <w:r w:rsidRPr="005A48E4">
        <w:rPr>
          <w:sz w:val="24"/>
          <w:szCs w:val="24"/>
        </w:rPr>
        <w:t xml:space="preserve"> titled, </w:t>
      </w:r>
      <w:r w:rsidRPr="005A48E4">
        <w:rPr>
          <w:i/>
          <w:sz w:val="24"/>
          <w:szCs w:val="24"/>
        </w:rPr>
        <w:t xml:space="preserve">“Guide to Parliamentary Questions in the National Assembly”, </w:t>
      </w:r>
      <w:r w:rsidRPr="005A48E4">
        <w:rPr>
          <w:sz w:val="24"/>
          <w:szCs w:val="24"/>
        </w:rPr>
        <w:t>I will not provide names of the companies or</w:t>
      </w:r>
      <w:r>
        <w:rPr>
          <w:sz w:val="24"/>
          <w:szCs w:val="24"/>
        </w:rPr>
        <w:t xml:space="preserve"> </w:t>
      </w:r>
      <w:r w:rsidRPr="00686CA3">
        <w:rPr>
          <w:sz w:val="24"/>
          <w:szCs w:val="24"/>
        </w:rPr>
        <w:t>contractors who have been blacklisted, suspended and/or penalised for poor workmanship, failure to deliver projects on time</w:t>
      </w:r>
      <w:r>
        <w:rPr>
          <w:sz w:val="24"/>
          <w:szCs w:val="24"/>
        </w:rPr>
        <w:t>.</w:t>
      </w:r>
      <w:r w:rsidRPr="00686CA3">
        <w:rPr>
          <w:sz w:val="24"/>
          <w:szCs w:val="24"/>
        </w:rPr>
        <w:t xml:space="preserve"> </w:t>
      </w:r>
      <w:r w:rsidRPr="005A48E4">
        <w:rPr>
          <w:sz w:val="24"/>
          <w:szCs w:val="24"/>
        </w:rPr>
        <w:t xml:space="preserve">The document referred to prohibits Members of Parliament, including the Executive, from </w:t>
      </w:r>
      <w:r w:rsidRPr="005A48E4">
        <w:rPr>
          <w:i/>
          <w:sz w:val="24"/>
          <w:szCs w:val="24"/>
        </w:rPr>
        <w:t>divulging</w:t>
      </w:r>
      <w:r w:rsidRPr="005A48E4">
        <w:rPr>
          <w:sz w:val="24"/>
          <w:szCs w:val="24"/>
        </w:rPr>
        <w:t xml:space="preserve"> names of persons, bodies when asking or responding to parliamentary questions.   </w:t>
      </w:r>
      <w:r w:rsidR="00AC69A5">
        <w:rPr>
          <w:sz w:val="24"/>
          <w:szCs w:val="24"/>
        </w:rPr>
        <w:t xml:space="preserve">It specifically </w:t>
      </w:r>
      <w:r w:rsidRPr="005A48E4">
        <w:rPr>
          <w:sz w:val="24"/>
          <w:szCs w:val="24"/>
        </w:rPr>
        <w:t>states the following:</w:t>
      </w:r>
    </w:p>
    <w:p w:rsidR="001A5AA9" w:rsidRDefault="001A5AA9" w:rsidP="001A5AA9">
      <w:pPr>
        <w:tabs>
          <w:tab w:val="left" w:pos="2390"/>
        </w:tabs>
        <w:spacing w:line="336" w:lineRule="auto"/>
        <w:ind w:left="720"/>
        <w:rPr>
          <w:b/>
          <w:sz w:val="24"/>
          <w:szCs w:val="24"/>
        </w:rPr>
      </w:pPr>
      <w:r>
        <w:rPr>
          <w:b/>
          <w:sz w:val="24"/>
          <w:szCs w:val="24"/>
        </w:rPr>
        <w:tab/>
      </w:r>
    </w:p>
    <w:p w:rsidR="001A5AA9" w:rsidRPr="00142F8E" w:rsidRDefault="001A5AA9" w:rsidP="001A5AA9">
      <w:pPr>
        <w:spacing w:line="336"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w:t>
      </w:r>
      <w:r w:rsidRPr="00142F8E">
        <w:rPr>
          <w:i/>
          <w:sz w:val="24"/>
          <w:szCs w:val="24"/>
        </w:rPr>
        <w:lastRenderedPageBreak/>
        <w:t xml:space="preserve">Departments concerned are notified of the name (-s) and this phrase is used:   </w:t>
      </w:r>
      <w:r w:rsidRPr="00142F8E">
        <w:rPr>
          <w:b/>
          <w:i/>
          <w:sz w:val="24"/>
          <w:szCs w:val="24"/>
        </w:rPr>
        <w:t>".......a certain person (name furnished)”</w:t>
      </w:r>
    </w:p>
    <w:p w:rsidR="001A5AA9" w:rsidRDefault="001A5AA9" w:rsidP="001A5AA9">
      <w:pPr>
        <w:pStyle w:val="ListParagraph"/>
        <w:spacing w:line="360" w:lineRule="auto"/>
        <w:ind w:left="0"/>
        <w:contextualSpacing/>
        <w:jc w:val="both"/>
        <w:rPr>
          <w:b/>
          <w:sz w:val="24"/>
          <w:szCs w:val="24"/>
        </w:rPr>
      </w:pPr>
    </w:p>
    <w:p w:rsidR="001A5AA9" w:rsidRPr="001A5AA9" w:rsidRDefault="00060D86" w:rsidP="001A5AA9">
      <w:pPr>
        <w:pStyle w:val="ListParagraph"/>
        <w:spacing w:line="360" w:lineRule="auto"/>
        <w:ind w:left="0"/>
        <w:contextualSpacing/>
        <w:jc w:val="both"/>
        <w:rPr>
          <w:sz w:val="24"/>
          <w:szCs w:val="24"/>
        </w:rPr>
      </w:pPr>
      <w:r>
        <w:rPr>
          <w:sz w:val="24"/>
          <w:szCs w:val="24"/>
        </w:rPr>
        <w:t xml:space="preserve">The information provided by the provinces in response to the Honourable Members question is provided in the table below:  </w:t>
      </w:r>
      <w:r w:rsidR="001A5AA9">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0"/>
        <w:gridCol w:w="4289"/>
        <w:gridCol w:w="2644"/>
      </w:tblGrid>
      <w:tr w:rsidR="00392A4A" w:rsidRPr="00821ABA" w:rsidTr="00821ABA">
        <w:trPr>
          <w:tblHeader/>
        </w:trPr>
        <w:tc>
          <w:tcPr>
            <w:tcW w:w="1701" w:type="dxa"/>
            <w:shd w:val="clear" w:color="auto" w:fill="E7E6E6"/>
          </w:tcPr>
          <w:p w:rsidR="00392A4A" w:rsidRPr="00821ABA" w:rsidRDefault="00392A4A" w:rsidP="005318F8">
            <w:pPr>
              <w:pStyle w:val="NoSpacing"/>
              <w:rPr>
                <w:b/>
                <w:sz w:val="22"/>
                <w:szCs w:val="22"/>
              </w:rPr>
            </w:pPr>
            <w:r w:rsidRPr="00821ABA">
              <w:rPr>
                <w:b/>
                <w:sz w:val="22"/>
                <w:szCs w:val="22"/>
              </w:rPr>
              <w:t xml:space="preserve">Province </w:t>
            </w:r>
          </w:p>
        </w:tc>
        <w:tc>
          <w:tcPr>
            <w:tcW w:w="1560" w:type="dxa"/>
            <w:shd w:val="clear" w:color="auto" w:fill="E7E6E6"/>
          </w:tcPr>
          <w:p w:rsidR="00D75252" w:rsidRPr="00821ABA" w:rsidRDefault="00392A4A" w:rsidP="005318F8">
            <w:pPr>
              <w:pStyle w:val="NoSpacing"/>
              <w:rPr>
                <w:b/>
                <w:sz w:val="22"/>
                <w:szCs w:val="22"/>
              </w:rPr>
            </w:pPr>
            <w:r w:rsidRPr="00821ABA">
              <w:rPr>
                <w:b/>
                <w:sz w:val="22"/>
                <w:szCs w:val="22"/>
              </w:rPr>
              <w:t>2014/15 (blacklisted</w:t>
            </w:r>
            <w:r w:rsidR="00D75252" w:rsidRPr="00821ABA">
              <w:rPr>
                <w:b/>
                <w:sz w:val="22"/>
                <w:szCs w:val="22"/>
              </w:rPr>
              <w:t>/</w:t>
            </w:r>
          </w:p>
          <w:p w:rsidR="00392A4A" w:rsidRPr="00821ABA" w:rsidRDefault="00392A4A" w:rsidP="005318F8">
            <w:pPr>
              <w:pStyle w:val="NoSpacing"/>
              <w:rPr>
                <w:b/>
                <w:sz w:val="22"/>
                <w:szCs w:val="22"/>
              </w:rPr>
            </w:pPr>
            <w:r w:rsidRPr="00821ABA">
              <w:rPr>
                <w:b/>
                <w:sz w:val="22"/>
                <w:szCs w:val="22"/>
              </w:rPr>
              <w:t>Suspended</w:t>
            </w:r>
            <w:r w:rsidR="00D75252" w:rsidRPr="00821ABA">
              <w:rPr>
                <w:b/>
                <w:sz w:val="22"/>
                <w:szCs w:val="22"/>
              </w:rPr>
              <w:t>/</w:t>
            </w:r>
            <w:r w:rsidRPr="00821ABA">
              <w:rPr>
                <w:b/>
                <w:sz w:val="22"/>
                <w:szCs w:val="22"/>
              </w:rPr>
              <w:t xml:space="preserve"> Penalised</w:t>
            </w:r>
            <w:r w:rsidR="00D75252" w:rsidRPr="00821ABA">
              <w:rPr>
                <w:b/>
                <w:sz w:val="22"/>
                <w:szCs w:val="22"/>
              </w:rPr>
              <w:t>)</w:t>
            </w:r>
          </w:p>
        </w:tc>
        <w:tc>
          <w:tcPr>
            <w:tcW w:w="4289" w:type="dxa"/>
            <w:shd w:val="clear" w:color="auto" w:fill="E7E6E6"/>
          </w:tcPr>
          <w:p w:rsidR="00392A4A" w:rsidRPr="00821ABA" w:rsidRDefault="00392A4A" w:rsidP="005318F8">
            <w:pPr>
              <w:pStyle w:val="NoSpacing"/>
              <w:rPr>
                <w:b/>
                <w:sz w:val="22"/>
                <w:szCs w:val="22"/>
              </w:rPr>
            </w:pPr>
            <w:r w:rsidRPr="00821ABA">
              <w:rPr>
                <w:b/>
                <w:sz w:val="22"/>
                <w:szCs w:val="22"/>
              </w:rPr>
              <w:t>2015/16 (blacklisted/Suspended/ Penalised</w:t>
            </w:r>
          </w:p>
        </w:tc>
        <w:tc>
          <w:tcPr>
            <w:tcW w:w="2644" w:type="dxa"/>
            <w:shd w:val="clear" w:color="auto" w:fill="E7E6E6"/>
          </w:tcPr>
          <w:p w:rsidR="00392A4A" w:rsidRPr="00821ABA" w:rsidRDefault="00392A4A" w:rsidP="005318F8">
            <w:pPr>
              <w:pStyle w:val="NoSpacing"/>
              <w:rPr>
                <w:b/>
                <w:sz w:val="22"/>
                <w:szCs w:val="22"/>
              </w:rPr>
            </w:pPr>
            <w:r w:rsidRPr="00821ABA">
              <w:rPr>
                <w:b/>
                <w:sz w:val="22"/>
                <w:szCs w:val="22"/>
              </w:rPr>
              <w:t>2016/17 (blacklisted/Suspended/ Penalised</w:t>
            </w:r>
          </w:p>
        </w:tc>
      </w:tr>
      <w:tr w:rsidR="00D75252" w:rsidRPr="00821ABA" w:rsidTr="00821ABA">
        <w:tc>
          <w:tcPr>
            <w:tcW w:w="1701" w:type="dxa"/>
            <w:shd w:val="clear" w:color="auto" w:fill="auto"/>
          </w:tcPr>
          <w:p w:rsidR="00D75252" w:rsidRPr="00821ABA" w:rsidRDefault="00D75252" w:rsidP="005318F8">
            <w:pPr>
              <w:pStyle w:val="NoSpacing"/>
              <w:rPr>
                <w:sz w:val="22"/>
                <w:szCs w:val="22"/>
                <w:lang w:val="en-ZA"/>
              </w:rPr>
            </w:pPr>
            <w:r w:rsidRPr="00821ABA">
              <w:rPr>
                <w:sz w:val="22"/>
                <w:szCs w:val="22"/>
                <w:lang w:val="en-ZA"/>
              </w:rPr>
              <w:t>Free State</w:t>
            </w:r>
          </w:p>
        </w:tc>
        <w:tc>
          <w:tcPr>
            <w:tcW w:w="1560" w:type="dxa"/>
            <w:shd w:val="clear" w:color="auto" w:fill="auto"/>
          </w:tcPr>
          <w:p w:rsidR="00D75252" w:rsidRPr="00821ABA" w:rsidRDefault="00D75252" w:rsidP="005318F8">
            <w:pPr>
              <w:pStyle w:val="NoSpacing"/>
              <w:rPr>
                <w:sz w:val="22"/>
                <w:szCs w:val="22"/>
              </w:rPr>
            </w:pPr>
            <w:r w:rsidRPr="00821ABA">
              <w:rPr>
                <w:sz w:val="22"/>
                <w:szCs w:val="22"/>
              </w:rPr>
              <w:t>None</w:t>
            </w:r>
          </w:p>
        </w:tc>
        <w:tc>
          <w:tcPr>
            <w:tcW w:w="4289" w:type="dxa"/>
            <w:shd w:val="clear" w:color="auto" w:fill="auto"/>
          </w:tcPr>
          <w:p w:rsidR="00D75252" w:rsidRPr="00821ABA" w:rsidRDefault="00D75252" w:rsidP="005318F8">
            <w:pPr>
              <w:pStyle w:val="NoSpacing"/>
              <w:rPr>
                <w:sz w:val="22"/>
                <w:szCs w:val="22"/>
              </w:rPr>
            </w:pPr>
            <w:r w:rsidRPr="00821ABA">
              <w:rPr>
                <w:sz w:val="22"/>
                <w:szCs w:val="22"/>
              </w:rPr>
              <w:t>None</w:t>
            </w:r>
          </w:p>
        </w:tc>
        <w:tc>
          <w:tcPr>
            <w:tcW w:w="2644" w:type="dxa"/>
            <w:shd w:val="clear" w:color="auto" w:fill="auto"/>
          </w:tcPr>
          <w:p w:rsidR="00D75252" w:rsidRPr="00821ABA" w:rsidRDefault="00D75252" w:rsidP="005318F8">
            <w:pPr>
              <w:pStyle w:val="NoSpacing"/>
              <w:rPr>
                <w:sz w:val="22"/>
                <w:szCs w:val="22"/>
              </w:rPr>
            </w:pPr>
            <w:r w:rsidRPr="00821ABA">
              <w:rPr>
                <w:sz w:val="22"/>
                <w:szCs w:val="22"/>
              </w:rPr>
              <w:t xml:space="preserve">None </w:t>
            </w:r>
          </w:p>
        </w:tc>
      </w:tr>
      <w:tr w:rsidR="00392A4A" w:rsidRPr="00821ABA" w:rsidTr="00821ABA">
        <w:tc>
          <w:tcPr>
            <w:tcW w:w="1701" w:type="dxa"/>
            <w:shd w:val="clear" w:color="auto" w:fill="auto"/>
          </w:tcPr>
          <w:p w:rsidR="00392A4A" w:rsidRPr="00821ABA" w:rsidRDefault="00392A4A" w:rsidP="005318F8">
            <w:pPr>
              <w:pStyle w:val="NoSpacing"/>
              <w:rPr>
                <w:sz w:val="22"/>
                <w:szCs w:val="22"/>
                <w:lang w:val="en-ZA"/>
              </w:rPr>
            </w:pPr>
            <w:r w:rsidRPr="00821ABA">
              <w:rPr>
                <w:sz w:val="22"/>
                <w:szCs w:val="22"/>
                <w:lang w:val="en-ZA"/>
              </w:rPr>
              <w:t>Gauteng</w:t>
            </w:r>
          </w:p>
        </w:tc>
        <w:tc>
          <w:tcPr>
            <w:tcW w:w="1560" w:type="dxa"/>
            <w:shd w:val="clear" w:color="auto" w:fill="auto"/>
          </w:tcPr>
          <w:p w:rsidR="00392A4A" w:rsidRPr="00821ABA" w:rsidRDefault="00D75252" w:rsidP="005318F8">
            <w:pPr>
              <w:pStyle w:val="NoSpacing"/>
              <w:rPr>
                <w:sz w:val="22"/>
                <w:szCs w:val="22"/>
              </w:rPr>
            </w:pPr>
            <w:r w:rsidRPr="00821ABA">
              <w:rPr>
                <w:sz w:val="22"/>
                <w:szCs w:val="22"/>
              </w:rPr>
              <w:t>None</w:t>
            </w:r>
          </w:p>
        </w:tc>
        <w:tc>
          <w:tcPr>
            <w:tcW w:w="4289" w:type="dxa"/>
            <w:shd w:val="clear" w:color="auto" w:fill="auto"/>
          </w:tcPr>
          <w:p w:rsidR="00392A4A" w:rsidRPr="00821ABA" w:rsidRDefault="00D75252" w:rsidP="005318F8">
            <w:pPr>
              <w:pStyle w:val="NoSpacing"/>
              <w:rPr>
                <w:sz w:val="22"/>
                <w:szCs w:val="22"/>
              </w:rPr>
            </w:pPr>
            <w:r w:rsidRPr="00821ABA">
              <w:rPr>
                <w:sz w:val="22"/>
                <w:szCs w:val="22"/>
              </w:rPr>
              <w:t>Contracts of t</w:t>
            </w:r>
            <w:r w:rsidR="00392A4A" w:rsidRPr="00821ABA">
              <w:rPr>
                <w:sz w:val="22"/>
                <w:szCs w:val="22"/>
              </w:rPr>
              <w:t xml:space="preserve">hree companies were </w:t>
            </w:r>
            <w:r w:rsidRPr="00821ABA">
              <w:rPr>
                <w:sz w:val="22"/>
                <w:szCs w:val="22"/>
              </w:rPr>
              <w:t>terminated</w:t>
            </w:r>
          </w:p>
        </w:tc>
        <w:tc>
          <w:tcPr>
            <w:tcW w:w="2644" w:type="dxa"/>
            <w:shd w:val="clear" w:color="auto" w:fill="auto"/>
          </w:tcPr>
          <w:p w:rsidR="00392A4A" w:rsidRPr="00821ABA" w:rsidRDefault="00D75252" w:rsidP="005318F8">
            <w:pPr>
              <w:pStyle w:val="NoSpacing"/>
              <w:rPr>
                <w:sz w:val="22"/>
                <w:szCs w:val="22"/>
              </w:rPr>
            </w:pPr>
            <w:r w:rsidRPr="00821ABA">
              <w:rPr>
                <w:sz w:val="22"/>
                <w:szCs w:val="22"/>
              </w:rPr>
              <w:t>Contracts of two companies were terminated</w:t>
            </w:r>
          </w:p>
        </w:tc>
      </w:tr>
      <w:tr w:rsidR="00392A4A" w:rsidRPr="00821ABA" w:rsidTr="00821ABA">
        <w:tc>
          <w:tcPr>
            <w:tcW w:w="1701" w:type="dxa"/>
            <w:shd w:val="clear" w:color="auto" w:fill="auto"/>
          </w:tcPr>
          <w:p w:rsidR="00392A4A" w:rsidRPr="00821ABA" w:rsidRDefault="00392A4A" w:rsidP="005318F8">
            <w:pPr>
              <w:pStyle w:val="NoSpacing"/>
              <w:rPr>
                <w:sz w:val="22"/>
                <w:szCs w:val="22"/>
                <w:lang w:val="en-ZA"/>
              </w:rPr>
            </w:pPr>
            <w:r w:rsidRPr="00821ABA">
              <w:rPr>
                <w:sz w:val="22"/>
                <w:szCs w:val="22"/>
                <w:lang w:val="en-ZA"/>
              </w:rPr>
              <w:t>KwaZulu-Natal</w:t>
            </w:r>
          </w:p>
        </w:tc>
        <w:tc>
          <w:tcPr>
            <w:tcW w:w="1560" w:type="dxa"/>
            <w:shd w:val="clear" w:color="auto" w:fill="auto"/>
          </w:tcPr>
          <w:p w:rsidR="00392A4A" w:rsidRPr="00821ABA" w:rsidRDefault="00392A4A" w:rsidP="005318F8">
            <w:pPr>
              <w:pStyle w:val="NoSpacing"/>
              <w:rPr>
                <w:sz w:val="22"/>
                <w:szCs w:val="22"/>
              </w:rPr>
            </w:pPr>
            <w:r w:rsidRPr="00821ABA">
              <w:rPr>
                <w:sz w:val="22"/>
                <w:szCs w:val="22"/>
              </w:rPr>
              <w:t>None</w:t>
            </w:r>
          </w:p>
        </w:tc>
        <w:tc>
          <w:tcPr>
            <w:tcW w:w="4289" w:type="dxa"/>
            <w:shd w:val="clear" w:color="auto" w:fill="auto"/>
          </w:tcPr>
          <w:p w:rsidR="00392A4A" w:rsidRPr="00821ABA" w:rsidRDefault="00392A4A" w:rsidP="005318F8">
            <w:pPr>
              <w:pStyle w:val="NoSpacing"/>
              <w:rPr>
                <w:sz w:val="22"/>
                <w:szCs w:val="22"/>
              </w:rPr>
            </w:pPr>
            <w:r w:rsidRPr="00821ABA">
              <w:rPr>
                <w:sz w:val="22"/>
                <w:szCs w:val="22"/>
              </w:rPr>
              <w:t>None</w:t>
            </w:r>
          </w:p>
        </w:tc>
        <w:tc>
          <w:tcPr>
            <w:tcW w:w="2644" w:type="dxa"/>
            <w:shd w:val="clear" w:color="auto" w:fill="auto"/>
          </w:tcPr>
          <w:p w:rsidR="00392A4A" w:rsidRPr="00821ABA" w:rsidRDefault="00392A4A" w:rsidP="005318F8">
            <w:pPr>
              <w:pStyle w:val="NoSpacing"/>
              <w:rPr>
                <w:sz w:val="22"/>
                <w:szCs w:val="22"/>
              </w:rPr>
            </w:pPr>
            <w:r w:rsidRPr="00821ABA">
              <w:rPr>
                <w:sz w:val="22"/>
                <w:szCs w:val="22"/>
              </w:rPr>
              <w:t xml:space="preserve">None </w:t>
            </w:r>
          </w:p>
        </w:tc>
      </w:tr>
      <w:tr w:rsidR="00392A4A" w:rsidRPr="00821ABA" w:rsidTr="00821ABA">
        <w:tc>
          <w:tcPr>
            <w:tcW w:w="1701" w:type="dxa"/>
            <w:shd w:val="clear" w:color="auto" w:fill="auto"/>
          </w:tcPr>
          <w:p w:rsidR="00392A4A" w:rsidRPr="00821ABA" w:rsidRDefault="00392A4A" w:rsidP="005318F8">
            <w:pPr>
              <w:pStyle w:val="NoSpacing"/>
              <w:rPr>
                <w:sz w:val="22"/>
                <w:szCs w:val="22"/>
                <w:lang w:val="en-ZA"/>
              </w:rPr>
            </w:pPr>
            <w:r w:rsidRPr="00821ABA">
              <w:rPr>
                <w:sz w:val="22"/>
                <w:szCs w:val="22"/>
                <w:lang w:val="en-ZA"/>
              </w:rPr>
              <w:t>Northern Cape</w:t>
            </w:r>
          </w:p>
        </w:tc>
        <w:tc>
          <w:tcPr>
            <w:tcW w:w="1560" w:type="dxa"/>
            <w:shd w:val="clear" w:color="auto" w:fill="auto"/>
          </w:tcPr>
          <w:p w:rsidR="00392A4A" w:rsidRPr="00821ABA" w:rsidRDefault="00D75252" w:rsidP="005318F8">
            <w:pPr>
              <w:pStyle w:val="NoSpacing"/>
              <w:rPr>
                <w:sz w:val="22"/>
                <w:szCs w:val="22"/>
              </w:rPr>
            </w:pPr>
            <w:r w:rsidRPr="00821ABA">
              <w:rPr>
                <w:sz w:val="22"/>
                <w:szCs w:val="22"/>
              </w:rPr>
              <w:t>None</w:t>
            </w:r>
          </w:p>
        </w:tc>
        <w:tc>
          <w:tcPr>
            <w:tcW w:w="4289" w:type="dxa"/>
            <w:shd w:val="clear" w:color="auto" w:fill="auto"/>
          </w:tcPr>
          <w:p w:rsidR="00392A4A" w:rsidRPr="00821ABA" w:rsidRDefault="00D75252" w:rsidP="005318F8">
            <w:pPr>
              <w:pStyle w:val="NoSpacing"/>
              <w:rPr>
                <w:sz w:val="22"/>
                <w:szCs w:val="22"/>
              </w:rPr>
            </w:pPr>
            <w:r w:rsidRPr="00821ABA">
              <w:rPr>
                <w:sz w:val="22"/>
                <w:szCs w:val="22"/>
              </w:rPr>
              <w:t>None</w:t>
            </w:r>
          </w:p>
        </w:tc>
        <w:tc>
          <w:tcPr>
            <w:tcW w:w="2644" w:type="dxa"/>
            <w:shd w:val="clear" w:color="auto" w:fill="auto"/>
          </w:tcPr>
          <w:p w:rsidR="00392A4A" w:rsidRPr="00821ABA" w:rsidRDefault="00D75252" w:rsidP="005318F8">
            <w:pPr>
              <w:pStyle w:val="NoSpacing"/>
              <w:rPr>
                <w:sz w:val="22"/>
                <w:szCs w:val="22"/>
              </w:rPr>
            </w:pPr>
            <w:r w:rsidRPr="00821ABA">
              <w:rPr>
                <w:sz w:val="22"/>
                <w:szCs w:val="22"/>
              </w:rPr>
              <w:t>Contracts of two companies were terminated</w:t>
            </w:r>
          </w:p>
        </w:tc>
      </w:tr>
      <w:tr w:rsidR="00392A4A" w:rsidRPr="00821ABA" w:rsidTr="00821ABA">
        <w:tc>
          <w:tcPr>
            <w:tcW w:w="1701" w:type="dxa"/>
            <w:shd w:val="clear" w:color="auto" w:fill="auto"/>
          </w:tcPr>
          <w:p w:rsidR="00392A4A" w:rsidRPr="00821ABA" w:rsidRDefault="00392A4A" w:rsidP="005318F8">
            <w:pPr>
              <w:pStyle w:val="NoSpacing"/>
              <w:rPr>
                <w:sz w:val="22"/>
                <w:szCs w:val="22"/>
                <w:lang w:val="en-ZA"/>
              </w:rPr>
            </w:pPr>
            <w:r w:rsidRPr="00821ABA">
              <w:rPr>
                <w:sz w:val="22"/>
                <w:szCs w:val="22"/>
                <w:lang w:val="en-ZA"/>
              </w:rPr>
              <w:t>Western Cape</w:t>
            </w:r>
          </w:p>
        </w:tc>
        <w:tc>
          <w:tcPr>
            <w:tcW w:w="1560" w:type="dxa"/>
            <w:shd w:val="clear" w:color="auto" w:fill="auto"/>
          </w:tcPr>
          <w:p w:rsidR="00392A4A" w:rsidRPr="00821ABA" w:rsidRDefault="00D75252" w:rsidP="005318F8">
            <w:pPr>
              <w:pStyle w:val="NoSpacing"/>
              <w:rPr>
                <w:sz w:val="22"/>
                <w:szCs w:val="22"/>
              </w:rPr>
            </w:pPr>
            <w:r w:rsidRPr="00821ABA">
              <w:rPr>
                <w:sz w:val="22"/>
                <w:szCs w:val="22"/>
              </w:rPr>
              <w:t>None</w:t>
            </w:r>
          </w:p>
        </w:tc>
        <w:tc>
          <w:tcPr>
            <w:tcW w:w="4289" w:type="dxa"/>
            <w:shd w:val="clear" w:color="auto" w:fill="auto"/>
          </w:tcPr>
          <w:p w:rsidR="00D75252" w:rsidRPr="001A5AA9" w:rsidRDefault="00D75252" w:rsidP="005318F8">
            <w:pPr>
              <w:pStyle w:val="NoSpacing"/>
              <w:rPr>
                <w:sz w:val="22"/>
                <w:szCs w:val="22"/>
                <w:u w:val="single"/>
              </w:rPr>
            </w:pPr>
            <w:r w:rsidRPr="001A5AA9">
              <w:rPr>
                <w:sz w:val="22"/>
                <w:szCs w:val="22"/>
                <w:u w:val="single"/>
              </w:rPr>
              <w:t>4 companies were penalised as follows:</w:t>
            </w:r>
          </w:p>
          <w:p w:rsidR="00D75252" w:rsidRPr="00821ABA" w:rsidRDefault="00D75252" w:rsidP="00821ABA">
            <w:pPr>
              <w:pStyle w:val="NoSpacing"/>
              <w:rPr>
                <w:sz w:val="22"/>
                <w:szCs w:val="22"/>
              </w:rPr>
            </w:pPr>
            <w:r w:rsidRPr="00821ABA">
              <w:rPr>
                <w:sz w:val="22"/>
                <w:szCs w:val="22"/>
              </w:rPr>
              <w:t>1. The size of the penalty was R427 845.00.</w:t>
            </w:r>
          </w:p>
          <w:p w:rsidR="00D75252" w:rsidRPr="00821ABA" w:rsidRDefault="00D75252" w:rsidP="00821ABA">
            <w:pPr>
              <w:pStyle w:val="NoSpacing"/>
              <w:rPr>
                <w:sz w:val="22"/>
                <w:szCs w:val="22"/>
              </w:rPr>
            </w:pPr>
            <w:r w:rsidRPr="00821ABA">
              <w:rPr>
                <w:sz w:val="22"/>
                <w:szCs w:val="22"/>
              </w:rPr>
              <w:t>2. The size of the penalty was R5 449 500.00</w:t>
            </w:r>
          </w:p>
          <w:p w:rsidR="00D75252" w:rsidRPr="00821ABA" w:rsidRDefault="00D75252" w:rsidP="00821ABA">
            <w:pPr>
              <w:pStyle w:val="NoSpacing"/>
              <w:rPr>
                <w:sz w:val="22"/>
                <w:szCs w:val="22"/>
              </w:rPr>
            </w:pPr>
            <w:r w:rsidRPr="00821ABA">
              <w:rPr>
                <w:sz w:val="22"/>
                <w:szCs w:val="22"/>
              </w:rPr>
              <w:t>3. The size of the penalty was R87 791.71.00.</w:t>
            </w:r>
          </w:p>
          <w:p w:rsidR="00D75252" w:rsidRPr="00821ABA" w:rsidRDefault="00D75252" w:rsidP="005318F8">
            <w:pPr>
              <w:pStyle w:val="NoSpacing"/>
              <w:rPr>
                <w:sz w:val="22"/>
                <w:szCs w:val="22"/>
              </w:rPr>
            </w:pPr>
            <w:r w:rsidRPr="00821ABA">
              <w:rPr>
                <w:sz w:val="22"/>
                <w:szCs w:val="22"/>
              </w:rPr>
              <w:t>4. The size of the penalty was R285 450.00.</w:t>
            </w:r>
          </w:p>
          <w:p w:rsidR="00D75252" w:rsidRPr="00821ABA" w:rsidRDefault="00D75252" w:rsidP="005318F8">
            <w:pPr>
              <w:pStyle w:val="NoSpacing"/>
              <w:rPr>
                <w:sz w:val="22"/>
                <w:szCs w:val="22"/>
              </w:rPr>
            </w:pPr>
          </w:p>
          <w:p w:rsidR="00D75252" w:rsidRPr="001A5AA9" w:rsidRDefault="005318F8" w:rsidP="00821ABA">
            <w:pPr>
              <w:pStyle w:val="NoSpacing"/>
              <w:rPr>
                <w:sz w:val="22"/>
                <w:szCs w:val="22"/>
                <w:u w:val="single"/>
              </w:rPr>
            </w:pPr>
            <w:r w:rsidRPr="001A5AA9">
              <w:rPr>
                <w:sz w:val="22"/>
                <w:szCs w:val="22"/>
                <w:u w:val="single"/>
              </w:rPr>
              <w:t>Reasons for the penalties mentioned above:</w:t>
            </w:r>
          </w:p>
          <w:p w:rsidR="005318F8" w:rsidRPr="00821ABA" w:rsidRDefault="00D75252" w:rsidP="005318F8">
            <w:pPr>
              <w:pStyle w:val="NoSpacing"/>
              <w:rPr>
                <w:sz w:val="22"/>
                <w:szCs w:val="22"/>
              </w:rPr>
            </w:pPr>
            <w:r w:rsidRPr="00821ABA">
              <w:rPr>
                <w:sz w:val="22"/>
                <w:szCs w:val="22"/>
              </w:rPr>
              <w:t>1. The penalty was for “Failed Local contractor development goals”.</w:t>
            </w:r>
          </w:p>
          <w:p w:rsidR="00D75252" w:rsidRPr="00821ABA" w:rsidRDefault="005318F8" w:rsidP="00821ABA">
            <w:pPr>
              <w:pStyle w:val="NoSpacing"/>
              <w:rPr>
                <w:sz w:val="22"/>
                <w:szCs w:val="22"/>
              </w:rPr>
            </w:pPr>
            <w:r w:rsidRPr="00821ABA">
              <w:rPr>
                <w:sz w:val="22"/>
                <w:szCs w:val="22"/>
              </w:rPr>
              <w:t xml:space="preserve">2. </w:t>
            </w:r>
            <w:r w:rsidR="00D75252" w:rsidRPr="00821ABA">
              <w:rPr>
                <w:sz w:val="22"/>
                <w:szCs w:val="22"/>
              </w:rPr>
              <w:t>The penalty was for “Late project delivery”.</w:t>
            </w:r>
          </w:p>
          <w:p w:rsidR="005318F8" w:rsidRPr="00821ABA" w:rsidRDefault="005318F8" w:rsidP="005318F8">
            <w:pPr>
              <w:pStyle w:val="NoSpacing"/>
              <w:rPr>
                <w:sz w:val="22"/>
                <w:szCs w:val="22"/>
              </w:rPr>
            </w:pPr>
            <w:r w:rsidRPr="00821ABA">
              <w:rPr>
                <w:sz w:val="22"/>
                <w:szCs w:val="22"/>
              </w:rPr>
              <w:t xml:space="preserve">3. </w:t>
            </w:r>
            <w:r w:rsidR="00D75252" w:rsidRPr="00821ABA">
              <w:rPr>
                <w:sz w:val="22"/>
                <w:szCs w:val="22"/>
              </w:rPr>
              <w:t>The penalty w</w:t>
            </w:r>
            <w:r w:rsidRPr="00821ABA">
              <w:rPr>
                <w:sz w:val="22"/>
                <w:szCs w:val="22"/>
              </w:rPr>
              <w:t>as for “Late project delivery”.</w:t>
            </w:r>
          </w:p>
          <w:p w:rsidR="00392A4A" w:rsidRPr="00821ABA" w:rsidRDefault="005318F8" w:rsidP="005318F8">
            <w:pPr>
              <w:pStyle w:val="NoSpacing"/>
              <w:rPr>
                <w:sz w:val="22"/>
                <w:szCs w:val="22"/>
              </w:rPr>
            </w:pPr>
            <w:r w:rsidRPr="00821ABA">
              <w:rPr>
                <w:sz w:val="22"/>
                <w:szCs w:val="22"/>
              </w:rPr>
              <w:t xml:space="preserve">4. </w:t>
            </w:r>
            <w:r w:rsidR="00D75252" w:rsidRPr="00821ABA">
              <w:rPr>
                <w:sz w:val="22"/>
                <w:szCs w:val="22"/>
              </w:rPr>
              <w:t>The penalty was for “Late project delivery”.</w:t>
            </w:r>
          </w:p>
        </w:tc>
        <w:tc>
          <w:tcPr>
            <w:tcW w:w="2644" w:type="dxa"/>
            <w:shd w:val="clear" w:color="auto" w:fill="auto"/>
          </w:tcPr>
          <w:p w:rsidR="005318F8" w:rsidRPr="00821ABA" w:rsidRDefault="005318F8" w:rsidP="00821ABA">
            <w:pPr>
              <w:pStyle w:val="NoSpacing"/>
              <w:rPr>
                <w:sz w:val="22"/>
                <w:szCs w:val="22"/>
              </w:rPr>
            </w:pPr>
            <w:r w:rsidRPr="00821ABA">
              <w:rPr>
                <w:sz w:val="22"/>
                <w:szCs w:val="22"/>
              </w:rPr>
              <w:t>One company was penalised R101 000.00 for “Late   project delivery”.</w:t>
            </w:r>
          </w:p>
          <w:p w:rsidR="00392A4A" w:rsidRPr="00821ABA" w:rsidRDefault="00392A4A" w:rsidP="005318F8">
            <w:pPr>
              <w:pStyle w:val="NoSpacing"/>
              <w:rPr>
                <w:sz w:val="22"/>
                <w:szCs w:val="22"/>
              </w:rPr>
            </w:pPr>
          </w:p>
        </w:tc>
      </w:tr>
      <w:tr w:rsidR="008A4484" w:rsidRPr="00821ABA" w:rsidTr="00821ABA">
        <w:tc>
          <w:tcPr>
            <w:tcW w:w="1701" w:type="dxa"/>
            <w:shd w:val="clear" w:color="auto" w:fill="auto"/>
          </w:tcPr>
          <w:p w:rsidR="008A4484" w:rsidRPr="00821ABA" w:rsidRDefault="008A4484" w:rsidP="008A4484">
            <w:pPr>
              <w:pStyle w:val="NoSpacing"/>
              <w:rPr>
                <w:sz w:val="22"/>
                <w:szCs w:val="22"/>
                <w:lang w:val="en-ZA"/>
              </w:rPr>
            </w:pPr>
            <w:r>
              <w:rPr>
                <w:sz w:val="22"/>
                <w:szCs w:val="22"/>
                <w:lang w:val="en-ZA"/>
              </w:rPr>
              <w:t>Mpumalanga</w:t>
            </w:r>
          </w:p>
        </w:tc>
        <w:tc>
          <w:tcPr>
            <w:tcW w:w="1560" w:type="dxa"/>
            <w:shd w:val="clear" w:color="auto" w:fill="auto"/>
          </w:tcPr>
          <w:p w:rsidR="008A4484" w:rsidRPr="00821ABA" w:rsidRDefault="008A4484" w:rsidP="008A4484">
            <w:pPr>
              <w:pStyle w:val="NoSpacing"/>
              <w:rPr>
                <w:sz w:val="22"/>
                <w:szCs w:val="22"/>
              </w:rPr>
            </w:pPr>
            <w:r w:rsidRPr="00821ABA">
              <w:rPr>
                <w:sz w:val="22"/>
                <w:szCs w:val="22"/>
              </w:rPr>
              <w:t>None</w:t>
            </w:r>
          </w:p>
        </w:tc>
        <w:tc>
          <w:tcPr>
            <w:tcW w:w="4289" w:type="dxa"/>
            <w:shd w:val="clear" w:color="auto" w:fill="auto"/>
          </w:tcPr>
          <w:p w:rsidR="008A4484" w:rsidRPr="00821ABA" w:rsidRDefault="008A4484" w:rsidP="008A4484">
            <w:pPr>
              <w:pStyle w:val="NoSpacing"/>
              <w:rPr>
                <w:sz w:val="22"/>
                <w:szCs w:val="22"/>
              </w:rPr>
            </w:pPr>
            <w:r w:rsidRPr="00821ABA">
              <w:rPr>
                <w:sz w:val="22"/>
                <w:szCs w:val="22"/>
              </w:rPr>
              <w:t>None</w:t>
            </w:r>
          </w:p>
        </w:tc>
        <w:tc>
          <w:tcPr>
            <w:tcW w:w="2644" w:type="dxa"/>
            <w:shd w:val="clear" w:color="auto" w:fill="auto"/>
          </w:tcPr>
          <w:p w:rsidR="008A4484" w:rsidRPr="00821ABA" w:rsidRDefault="008A4484" w:rsidP="008A4484">
            <w:pPr>
              <w:pStyle w:val="NoSpacing"/>
              <w:rPr>
                <w:sz w:val="22"/>
                <w:szCs w:val="22"/>
              </w:rPr>
            </w:pPr>
            <w:r>
              <w:rPr>
                <w:sz w:val="22"/>
                <w:szCs w:val="22"/>
              </w:rPr>
              <w:t>None</w:t>
            </w:r>
          </w:p>
        </w:tc>
      </w:tr>
      <w:tr w:rsidR="008A4484" w:rsidRPr="00821ABA" w:rsidTr="00821ABA">
        <w:tc>
          <w:tcPr>
            <w:tcW w:w="1701" w:type="dxa"/>
            <w:shd w:val="clear" w:color="auto" w:fill="auto"/>
          </w:tcPr>
          <w:p w:rsidR="008A4484" w:rsidRPr="00821ABA" w:rsidRDefault="008A4484" w:rsidP="008A4484">
            <w:pPr>
              <w:pStyle w:val="NoSpacing"/>
              <w:rPr>
                <w:sz w:val="22"/>
                <w:szCs w:val="22"/>
                <w:lang w:val="en-ZA"/>
              </w:rPr>
            </w:pPr>
            <w:r>
              <w:rPr>
                <w:sz w:val="22"/>
                <w:szCs w:val="22"/>
                <w:lang w:val="en-ZA"/>
              </w:rPr>
              <w:t>North West</w:t>
            </w:r>
          </w:p>
        </w:tc>
        <w:tc>
          <w:tcPr>
            <w:tcW w:w="1560" w:type="dxa"/>
            <w:shd w:val="clear" w:color="auto" w:fill="auto"/>
          </w:tcPr>
          <w:p w:rsidR="008A4484" w:rsidRPr="00821ABA" w:rsidRDefault="008A4484" w:rsidP="008A4484">
            <w:pPr>
              <w:pStyle w:val="NoSpacing"/>
              <w:rPr>
                <w:sz w:val="22"/>
                <w:szCs w:val="22"/>
              </w:rPr>
            </w:pPr>
            <w:r w:rsidRPr="00821ABA">
              <w:rPr>
                <w:sz w:val="22"/>
                <w:szCs w:val="22"/>
              </w:rPr>
              <w:t>None</w:t>
            </w:r>
          </w:p>
        </w:tc>
        <w:tc>
          <w:tcPr>
            <w:tcW w:w="4289" w:type="dxa"/>
            <w:shd w:val="clear" w:color="auto" w:fill="auto"/>
          </w:tcPr>
          <w:p w:rsidR="008A4484" w:rsidRPr="00821ABA" w:rsidRDefault="008A4484" w:rsidP="008A4484">
            <w:pPr>
              <w:pStyle w:val="NoSpacing"/>
              <w:rPr>
                <w:sz w:val="22"/>
                <w:szCs w:val="22"/>
              </w:rPr>
            </w:pPr>
            <w:r w:rsidRPr="00821ABA">
              <w:rPr>
                <w:sz w:val="22"/>
                <w:szCs w:val="22"/>
              </w:rPr>
              <w:t>None</w:t>
            </w:r>
          </w:p>
        </w:tc>
        <w:tc>
          <w:tcPr>
            <w:tcW w:w="2644" w:type="dxa"/>
            <w:shd w:val="clear" w:color="auto" w:fill="auto"/>
          </w:tcPr>
          <w:p w:rsidR="008A4484" w:rsidRPr="00821ABA" w:rsidRDefault="008A4484" w:rsidP="008A4484">
            <w:pPr>
              <w:pStyle w:val="NoSpacing"/>
              <w:rPr>
                <w:sz w:val="22"/>
                <w:szCs w:val="22"/>
              </w:rPr>
            </w:pPr>
            <w:r>
              <w:rPr>
                <w:sz w:val="22"/>
                <w:szCs w:val="22"/>
              </w:rPr>
              <w:t>None</w:t>
            </w:r>
          </w:p>
        </w:tc>
      </w:tr>
      <w:tr w:rsidR="008A4484" w:rsidRPr="00821ABA" w:rsidTr="00821ABA">
        <w:tc>
          <w:tcPr>
            <w:tcW w:w="1701" w:type="dxa"/>
            <w:shd w:val="clear" w:color="auto" w:fill="auto"/>
          </w:tcPr>
          <w:p w:rsidR="008A4484" w:rsidRDefault="008A4484" w:rsidP="008A4484">
            <w:pPr>
              <w:pStyle w:val="NoSpacing"/>
              <w:rPr>
                <w:sz w:val="22"/>
                <w:szCs w:val="22"/>
                <w:lang w:val="en-ZA"/>
              </w:rPr>
            </w:pPr>
            <w:r>
              <w:rPr>
                <w:sz w:val="22"/>
                <w:szCs w:val="22"/>
                <w:lang w:val="en-ZA"/>
              </w:rPr>
              <w:t>Limpopo</w:t>
            </w:r>
          </w:p>
        </w:tc>
        <w:tc>
          <w:tcPr>
            <w:tcW w:w="1560" w:type="dxa"/>
            <w:shd w:val="clear" w:color="auto" w:fill="auto"/>
          </w:tcPr>
          <w:p w:rsidR="008A4484" w:rsidRPr="00821ABA" w:rsidRDefault="008A4484" w:rsidP="008A4484">
            <w:pPr>
              <w:pStyle w:val="NoSpacing"/>
              <w:rPr>
                <w:sz w:val="22"/>
                <w:szCs w:val="22"/>
              </w:rPr>
            </w:pPr>
            <w:r w:rsidRPr="00821ABA">
              <w:rPr>
                <w:sz w:val="22"/>
                <w:szCs w:val="22"/>
              </w:rPr>
              <w:t>None</w:t>
            </w:r>
          </w:p>
        </w:tc>
        <w:tc>
          <w:tcPr>
            <w:tcW w:w="4289" w:type="dxa"/>
            <w:shd w:val="clear" w:color="auto" w:fill="auto"/>
          </w:tcPr>
          <w:p w:rsidR="008A4484" w:rsidRPr="00821ABA" w:rsidRDefault="008A4484" w:rsidP="008A4484">
            <w:pPr>
              <w:pStyle w:val="NoSpacing"/>
              <w:rPr>
                <w:sz w:val="22"/>
                <w:szCs w:val="22"/>
              </w:rPr>
            </w:pPr>
            <w:r w:rsidRPr="00821ABA">
              <w:rPr>
                <w:sz w:val="22"/>
                <w:szCs w:val="22"/>
              </w:rPr>
              <w:t>None</w:t>
            </w:r>
          </w:p>
        </w:tc>
        <w:tc>
          <w:tcPr>
            <w:tcW w:w="2644" w:type="dxa"/>
            <w:shd w:val="clear" w:color="auto" w:fill="auto"/>
          </w:tcPr>
          <w:p w:rsidR="008A4484" w:rsidRPr="00821ABA" w:rsidRDefault="008A4484" w:rsidP="008A4484">
            <w:pPr>
              <w:pStyle w:val="NoSpacing"/>
              <w:rPr>
                <w:sz w:val="22"/>
                <w:szCs w:val="22"/>
              </w:rPr>
            </w:pPr>
            <w:r>
              <w:rPr>
                <w:sz w:val="22"/>
                <w:szCs w:val="22"/>
              </w:rPr>
              <w:t>None</w:t>
            </w:r>
          </w:p>
        </w:tc>
      </w:tr>
      <w:tr w:rsidR="00A45652" w:rsidRPr="00821ABA" w:rsidTr="00821ABA">
        <w:tc>
          <w:tcPr>
            <w:tcW w:w="1701" w:type="dxa"/>
            <w:shd w:val="clear" w:color="auto" w:fill="auto"/>
          </w:tcPr>
          <w:p w:rsidR="00A45652" w:rsidRPr="00A45652" w:rsidRDefault="00A45652" w:rsidP="00A45652">
            <w:pPr>
              <w:pStyle w:val="NoSpacing"/>
              <w:rPr>
                <w:sz w:val="22"/>
                <w:szCs w:val="22"/>
                <w:lang w:val="en-ZA"/>
              </w:rPr>
            </w:pPr>
            <w:r w:rsidRPr="00A45652">
              <w:rPr>
                <w:sz w:val="22"/>
                <w:szCs w:val="22"/>
                <w:lang w:val="en-ZA"/>
              </w:rPr>
              <w:t>Eastern Cape</w:t>
            </w:r>
          </w:p>
        </w:tc>
        <w:tc>
          <w:tcPr>
            <w:tcW w:w="1560" w:type="dxa"/>
            <w:shd w:val="clear" w:color="auto" w:fill="auto"/>
          </w:tcPr>
          <w:p w:rsidR="00A45652" w:rsidRPr="00A45652" w:rsidRDefault="00A45652" w:rsidP="00A45652">
            <w:pPr>
              <w:rPr>
                <w:sz w:val="22"/>
                <w:szCs w:val="22"/>
              </w:rPr>
            </w:pPr>
            <w:r w:rsidRPr="00A45652">
              <w:rPr>
                <w:sz w:val="22"/>
                <w:szCs w:val="22"/>
              </w:rPr>
              <w:t>15 companies were suspended</w:t>
            </w:r>
          </w:p>
        </w:tc>
        <w:tc>
          <w:tcPr>
            <w:tcW w:w="4289" w:type="dxa"/>
            <w:shd w:val="clear" w:color="auto" w:fill="auto"/>
          </w:tcPr>
          <w:p w:rsidR="00A45652" w:rsidRPr="00A45652" w:rsidRDefault="00A45652" w:rsidP="00A45652">
            <w:pPr>
              <w:rPr>
                <w:sz w:val="22"/>
                <w:szCs w:val="22"/>
              </w:rPr>
            </w:pPr>
            <w:r w:rsidRPr="00A45652">
              <w:rPr>
                <w:sz w:val="22"/>
                <w:szCs w:val="22"/>
              </w:rPr>
              <w:t>7 companies were suspended</w:t>
            </w:r>
          </w:p>
        </w:tc>
        <w:tc>
          <w:tcPr>
            <w:tcW w:w="2644" w:type="dxa"/>
            <w:shd w:val="clear" w:color="auto" w:fill="auto"/>
          </w:tcPr>
          <w:p w:rsidR="00A45652" w:rsidRPr="00A45652" w:rsidRDefault="00A45652" w:rsidP="00A45652">
            <w:pPr>
              <w:rPr>
                <w:sz w:val="22"/>
                <w:szCs w:val="22"/>
              </w:rPr>
            </w:pPr>
            <w:r w:rsidRPr="00A45652">
              <w:rPr>
                <w:sz w:val="22"/>
                <w:szCs w:val="22"/>
              </w:rPr>
              <w:t>2 companies were suspended</w:t>
            </w:r>
          </w:p>
        </w:tc>
      </w:tr>
    </w:tbl>
    <w:p w:rsidR="00F720D5" w:rsidRPr="00F720D5" w:rsidRDefault="00F720D5" w:rsidP="005318F8">
      <w:pPr>
        <w:pStyle w:val="NoSpacing"/>
        <w:rPr>
          <w:b/>
        </w:rPr>
      </w:pPr>
    </w:p>
    <w:p w:rsidR="00F720D5" w:rsidRPr="00F720D5" w:rsidRDefault="00F720D5" w:rsidP="00F720D5">
      <w:pPr>
        <w:pStyle w:val="ListParagraph"/>
        <w:rPr>
          <w:sz w:val="24"/>
          <w:szCs w:val="24"/>
        </w:rPr>
      </w:pPr>
    </w:p>
    <w:p w:rsidR="00F720D5" w:rsidRPr="00F720D5" w:rsidRDefault="00F720D5" w:rsidP="00F720D5">
      <w:pPr>
        <w:spacing w:line="360" w:lineRule="auto"/>
        <w:jc w:val="both"/>
        <w:rPr>
          <w:sz w:val="24"/>
          <w:szCs w:val="24"/>
        </w:rPr>
      </w:pPr>
    </w:p>
    <w:p w:rsidR="00F720D5" w:rsidRPr="00F720D5" w:rsidRDefault="00F720D5" w:rsidP="00EB6AA1">
      <w:pPr>
        <w:spacing w:line="480" w:lineRule="auto"/>
        <w:ind w:left="720" w:hanging="720"/>
        <w:jc w:val="both"/>
        <w:rPr>
          <w:sz w:val="24"/>
          <w:szCs w:val="24"/>
        </w:rPr>
      </w:pPr>
    </w:p>
    <w:p w:rsidR="00743C1B" w:rsidRDefault="00743C1B" w:rsidP="00EB6AA1">
      <w:pPr>
        <w:spacing w:line="480" w:lineRule="auto"/>
        <w:ind w:left="720" w:hanging="720"/>
        <w:jc w:val="both"/>
        <w:rPr>
          <w:b/>
          <w:sz w:val="24"/>
          <w:szCs w:val="24"/>
        </w:rPr>
      </w:pPr>
    </w:p>
    <w:p w:rsidR="00743C1B" w:rsidRDefault="00743C1B" w:rsidP="00EB6AA1">
      <w:pPr>
        <w:spacing w:line="480" w:lineRule="auto"/>
        <w:ind w:left="720" w:hanging="720"/>
        <w:jc w:val="both"/>
        <w:rPr>
          <w:b/>
          <w:sz w:val="24"/>
          <w:szCs w:val="24"/>
        </w:rPr>
      </w:pPr>
    </w:p>
    <w:sectPr w:rsidR="00743C1B"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B8" w:rsidRDefault="00D929B8" w:rsidP="00054FEC">
      <w:r>
        <w:separator/>
      </w:r>
    </w:p>
  </w:endnote>
  <w:endnote w:type="continuationSeparator" w:id="0">
    <w:p w:rsidR="00D929B8" w:rsidRDefault="00D929B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B8" w:rsidRDefault="00D929B8" w:rsidP="00054FEC">
      <w:r>
        <w:separator/>
      </w:r>
    </w:p>
  </w:footnote>
  <w:footnote w:type="continuationSeparator" w:id="0">
    <w:p w:rsidR="00D929B8" w:rsidRDefault="00D929B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545BA0">
      <w:t>131</w:t>
    </w:r>
    <w:r w:rsidR="00770484">
      <w:t>5</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14"/>
  </w:num>
  <w:num w:numId="4">
    <w:abstractNumId w:val="3"/>
  </w:num>
  <w:num w:numId="5">
    <w:abstractNumId w:val="4"/>
  </w:num>
  <w:num w:numId="6">
    <w:abstractNumId w:val="22"/>
  </w:num>
  <w:num w:numId="7">
    <w:abstractNumId w:val="21"/>
  </w:num>
  <w:num w:numId="8">
    <w:abstractNumId w:val="35"/>
  </w:num>
  <w:num w:numId="9">
    <w:abstractNumId w:val="31"/>
  </w:num>
  <w:num w:numId="10">
    <w:abstractNumId w:val="25"/>
  </w:num>
  <w:num w:numId="11">
    <w:abstractNumId w:val="23"/>
  </w:num>
  <w:num w:numId="12">
    <w:abstractNumId w:val="7"/>
  </w:num>
  <w:num w:numId="13">
    <w:abstractNumId w:val="29"/>
  </w:num>
  <w:num w:numId="14">
    <w:abstractNumId w:val="28"/>
  </w:num>
  <w:num w:numId="15">
    <w:abstractNumId w:val="26"/>
  </w:num>
  <w:num w:numId="16">
    <w:abstractNumId w:val="32"/>
  </w:num>
  <w:num w:numId="17">
    <w:abstractNumId w:val="5"/>
  </w:num>
  <w:num w:numId="18">
    <w:abstractNumId w:val="19"/>
  </w:num>
  <w:num w:numId="19">
    <w:abstractNumId w:val="11"/>
  </w:num>
  <w:num w:numId="20">
    <w:abstractNumId w:val="3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0"/>
  </w:num>
  <w:num w:numId="26">
    <w:abstractNumId w:val="9"/>
  </w:num>
  <w:num w:numId="27">
    <w:abstractNumId w:val="12"/>
  </w:num>
  <w:num w:numId="28">
    <w:abstractNumId w:val="27"/>
  </w:num>
  <w:num w:numId="29">
    <w:abstractNumId w:val="39"/>
  </w:num>
  <w:num w:numId="30">
    <w:abstractNumId w:val="13"/>
  </w:num>
  <w:num w:numId="31">
    <w:abstractNumId w:val="18"/>
  </w:num>
  <w:num w:numId="32">
    <w:abstractNumId w:val="34"/>
  </w:num>
  <w:num w:numId="33">
    <w:abstractNumId w:val="30"/>
  </w:num>
  <w:num w:numId="34">
    <w:abstractNumId w:val="15"/>
  </w:num>
  <w:num w:numId="35">
    <w:abstractNumId w:val="6"/>
  </w:num>
  <w:num w:numId="36">
    <w:abstractNumId w:val="16"/>
  </w:num>
  <w:num w:numId="37">
    <w:abstractNumId w:val="38"/>
  </w:num>
  <w:num w:numId="38">
    <w:abstractNumId w:val="8"/>
  </w:num>
  <w:num w:numId="39">
    <w:abstractNumId w:val="1"/>
  </w:num>
  <w:num w:numId="40">
    <w:abstractNumId w:val="33"/>
  </w:num>
  <w:num w:numId="41">
    <w:abstractNumId w:val="20"/>
  </w:num>
  <w:num w:numId="4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B2098"/>
    <w:rsid w:val="000B4AC5"/>
    <w:rsid w:val="000C37CD"/>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83267"/>
    <w:rsid w:val="00185C4D"/>
    <w:rsid w:val="00185C4E"/>
    <w:rsid w:val="0019692B"/>
    <w:rsid w:val="001A1C58"/>
    <w:rsid w:val="001A37B9"/>
    <w:rsid w:val="001A5AA9"/>
    <w:rsid w:val="001B46D4"/>
    <w:rsid w:val="001C51E0"/>
    <w:rsid w:val="001D6619"/>
    <w:rsid w:val="001E587F"/>
    <w:rsid w:val="001E77A7"/>
    <w:rsid w:val="001F17FC"/>
    <w:rsid w:val="001F31E6"/>
    <w:rsid w:val="00203262"/>
    <w:rsid w:val="00211743"/>
    <w:rsid w:val="00221ABD"/>
    <w:rsid w:val="00221CAF"/>
    <w:rsid w:val="0023124F"/>
    <w:rsid w:val="002316D0"/>
    <w:rsid w:val="00244322"/>
    <w:rsid w:val="00245CEE"/>
    <w:rsid w:val="002565C1"/>
    <w:rsid w:val="00257C83"/>
    <w:rsid w:val="00273F15"/>
    <w:rsid w:val="002901FA"/>
    <w:rsid w:val="002922CE"/>
    <w:rsid w:val="002962EB"/>
    <w:rsid w:val="0029651C"/>
    <w:rsid w:val="00297F06"/>
    <w:rsid w:val="002A580A"/>
    <w:rsid w:val="002D3BB8"/>
    <w:rsid w:val="002E39B0"/>
    <w:rsid w:val="002F729C"/>
    <w:rsid w:val="003225B0"/>
    <w:rsid w:val="00323C61"/>
    <w:rsid w:val="00326ADE"/>
    <w:rsid w:val="00332EDA"/>
    <w:rsid w:val="00333798"/>
    <w:rsid w:val="00360151"/>
    <w:rsid w:val="003639EF"/>
    <w:rsid w:val="003658A1"/>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11FA8"/>
    <w:rsid w:val="00413C30"/>
    <w:rsid w:val="004171D3"/>
    <w:rsid w:val="00421190"/>
    <w:rsid w:val="00421215"/>
    <w:rsid w:val="00430FBB"/>
    <w:rsid w:val="00435C33"/>
    <w:rsid w:val="00437973"/>
    <w:rsid w:val="00442C28"/>
    <w:rsid w:val="00442F09"/>
    <w:rsid w:val="0044715C"/>
    <w:rsid w:val="00453E58"/>
    <w:rsid w:val="00457E66"/>
    <w:rsid w:val="00461532"/>
    <w:rsid w:val="004622F2"/>
    <w:rsid w:val="00466A67"/>
    <w:rsid w:val="00472722"/>
    <w:rsid w:val="00481F38"/>
    <w:rsid w:val="004A27DE"/>
    <w:rsid w:val="004A7396"/>
    <w:rsid w:val="004B54E9"/>
    <w:rsid w:val="004C34F2"/>
    <w:rsid w:val="004E1009"/>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704183"/>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1ABA"/>
    <w:rsid w:val="00826D26"/>
    <w:rsid w:val="008279FC"/>
    <w:rsid w:val="00845006"/>
    <w:rsid w:val="00852F18"/>
    <w:rsid w:val="008575F4"/>
    <w:rsid w:val="00857E10"/>
    <w:rsid w:val="008709EB"/>
    <w:rsid w:val="0087209D"/>
    <w:rsid w:val="00873BDC"/>
    <w:rsid w:val="00874EAB"/>
    <w:rsid w:val="008773D7"/>
    <w:rsid w:val="00895D3F"/>
    <w:rsid w:val="008A4484"/>
    <w:rsid w:val="008B0CDF"/>
    <w:rsid w:val="008B0E18"/>
    <w:rsid w:val="008B2848"/>
    <w:rsid w:val="008C22C2"/>
    <w:rsid w:val="008D4969"/>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67EE8"/>
    <w:rsid w:val="00972777"/>
    <w:rsid w:val="00974D24"/>
    <w:rsid w:val="00984A0C"/>
    <w:rsid w:val="00984BF1"/>
    <w:rsid w:val="00991B77"/>
    <w:rsid w:val="009924B5"/>
    <w:rsid w:val="009B6B68"/>
    <w:rsid w:val="009C04C3"/>
    <w:rsid w:val="009C6091"/>
    <w:rsid w:val="009D5DC1"/>
    <w:rsid w:val="009E4722"/>
    <w:rsid w:val="009F104A"/>
    <w:rsid w:val="009F5B5D"/>
    <w:rsid w:val="00A07114"/>
    <w:rsid w:val="00A10986"/>
    <w:rsid w:val="00A11359"/>
    <w:rsid w:val="00A36D94"/>
    <w:rsid w:val="00A45652"/>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C2B00"/>
    <w:rsid w:val="00BD39FB"/>
    <w:rsid w:val="00BE2758"/>
    <w:rsid w:val="00BE35AA"/>
    <w:rsid w:val="00BF3EE7"/>
    <w:rsid w:val="00BF78F1"/>
    <w:rsid w:val="00C0359C"/>
    <w:rsid w:val="00C103F1"/>
    <w:rsid w:val="00C21B68"/>
    <w:rsid w:val="00C24092"/>
    <w:rsid w:val="00C26F5E"/>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6D0B"/>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29B8"/>
    <w:rsid w:val="00DA0BDC"/>
    <w:rsid w:val="00DB59D7"/>
    <w:rsid w:val="00DB75E0"/>
    <w:rsid w:val="00DC28F1"/>
    <w:rsid w:val="00DD185C"/>
    <w:rsid w:val="00DD7501"/>
    <w:rsid w:val="00DE6494"/>
    <w:rsid w:val="00DF24A7"/>
    <w:rsid w:val="00DF79D0"/>
    <w:rsid w:val="00E06306"/>
    <w:rsid w:val="00E13A36"/>
    <w:rsid w:val="00E154EB"/>
    <w:rsid w:val="00E17DD6"/>
    <w:rsid w:val="00E2469A"/>
    <w:rsid w:val="00E32382"/>
    <w:rsid w:val="00E40762"/>
    <w:rsid w:val="00E65C78"/>
    <w:rsid w:val="00E65E8A"/>
    <w:rsid w:val="00E67E28"/>
    <w:rsid w:val="00E76256"/>
    <w:rsid w:val="00E843C3"/>
    <w:rsid w:val="00E84932"/>
    <w:rsid w:val="00E916B8"/>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60C74"/>
    <w:rsid w:val="00F61C46"/>
    <w:rsid w:val="00F61D4C"/>
    <w:rsid w:val="00F720D5"/>
    <w:rsid w:val="00F93680"/>
    <w:rsid w:val="00FA0083"/>
    <w:rsid w:val="00FA12D4"/>
    <w:rsid w:val="00FA14B9"/>
    <w:rsid w:val="00FA759C"/>
    <w:rsid w:val="00FB0AF3"/>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2017-06-15T15:06:00Z</cp:lastPrinted>
  <dcterms:created xsi:type="dcterms:W3CDTF">2017-07-05T10:15:00Z</dcterms:created>
  <dcterms:modified xsi:type="dcterms:W3CDTF">2017-07-05T10:15:00Z</dcterms:modified>
</cp:coreProperties>
</file>