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076197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545BA0">
        <w:rPr>
          <w:b/>
          <w:sz w:val="24"/>
          <w:szCs w:val="24"/>
          <w:lang w:val="af-ZA"/>
        </w:rPr>
        <w:t>1314</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D316EC">
        <w:rPr>
          <w:b/>
          <w:sz w:val="24"/>
          <w:szCs w:val="24"/>
        </w:rPr>
        <w:t>1</w:t>
      </w:r>
      <w:r w:rsidR="008E593B">
        <w:rPr>
          <w:b/>
          <w:sz w:val="24"/>
          <w:szCs w:val="24"/>
        </w:rPr>
        <w:t>9</w:t>
      </w:r>
      <w:r w:rsidR="00D316EC">
        <w:rPr>
          <w:b/>
          <w:sz w:val="24"/>
          <w:szCs w:val="24"/>
        </w:rPr>
        <w:t xml:space="preserve"> MAY </w:t>
      </w:r>
      <w:r w:rsidR="00526E7D" w:rsidRPr="0055709D">
        <w:rPr>
          <w:b/>
          <w:sz w:val="24"/>
          <w:szCs w:val="24"/>
        </w:rPr>
        <w:t>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545BA0" w:rsidRPr="009926DF" w:rsidRDefault="00545BA0" w:rsidP="00545BA0">
      <w:pPr>
        <w:spacing w:after="267" w:line="249" w:lineRule="auto"/>
        <w:ind w:left="818" w:hanging="818"/>
        <w:rPr>
          <w:b/>
          <w:sz w:val="24"/>
          <w:szCs w:val="24"/>
        </w:rPr>
      </w:pPr>
      <w:r w:rsidRPr="009926DF">
        <w:rPr>
          <w:b/>
          <w:sz w:val="24"/>
          <w:szCs w:val="24"/>
        </w:rPr>
        <w:t>Mr M S Malatsi (DA) to ask the Minister of Human Settlements:</w:t>
      </w:r>
    </w:p>
    <w:p w:rsidR="00545BA0" w:rsidRPr="00A94573" w:rsidRDefault="00545BA0" w:rsidP="00545BA0">
      <w:pPr>
        <w:spacing w:line="360" w:lineRule="auto"/>
        <w:jc w:val="both"/>
        <w:outlineLvl w:val="0"/>
      </w:pPr>
      <w:r w:rsidRPr="00545BA0">
        <w:rPr>
          <w:sz w:val="24"/>
          <w:szCs w:val="24"/>
        </w:rPr>
        <w:t>(a) What number of supplier invoices of each provincial department of human settlements currently remain unpaid for more than 30 days and (b) in each case, what (i) is the name of the company and/or supplier, (ii) amounts are outstanding, (iii) is the reason for nonpayment and (iv) is the envisaged date on which the amounts will be paid?</w:t>
      </w:r>
      <w:r w:rsidRPr="00686CA3">
        <w:rPr>
          <w:sz w:val="24"/>
          <w:szCs w:val="24"/>
        </w:rPr>
        <w:tab/>
      </w:r>
      <w:r w:rsidRPr="00A94573">
        <w:tab/>
      </w:r>
      <w:r w:rsidRPr="00A94573">
        <w:tab/>
      </w:r>
      <w:r>
        <w:tab/>
      </w:r>
      <w:r>
        <w:tab/>
      </w:r>
      <w:r>
        <w:tab/>
      </w:r>
      <w:r>
        <w:tab/>
      </w:r>
      <w:r>
        <w:tab/>
      </w:r>
      <w:r w:rsidRPr="00A94573">
        <w:t>NW1456E</w:t>
      </w:r>
    </w:p>
    <w:p w:rsidR="00F363E4" w:rsidRPr="00F3387B" w:rsidRDefault="00895D3F" w:rsidP="00FF6368">
      <w:pPr>
        <w:pStyle w:val="ListParagraph"/>
        <w:spacing w:before="100" w:beforeAutospacing="1" w:after="100" w:afterAutospacing="1" w:line="360" w:lineRule="auto"/>
        <w:ind w:left="0"/>
        <w:jc w:val="both"/>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170077" w:rsidRPr="00170077" w:rsidRDefault="0045012C" w:rsidP="0045012C">
      <w:pPr>
        <w:spacing w:line="360" w:lineRule="auto"/>
        <w:jc w:val="both"/>
        <w:rPr>
          <w:b/>
          <w:sz w:val="24"/>
          <w:szCs w:val="24"/>
        </w:rPr>
      </w:pPr>
      <w:r w:rsidRPr="0045012C">
        <w:rPr>
          <w:sz w:val="24"/>
          <w:szCs w:val="24"/>
        </w:rPr>
        <w:t>Honourable Member, we are grappling with the</w:t>
      </w:r>
      <w:r w:rsidR="00170077" w:rsidRPr="0045012C">
        <w:rPr>
          <w:sz w:val="24"/>
          <w:szCs w:val="24"/>
        </w:rPr>
        <w:t xml:space="preserve"> issue of the paying supplier invoices within </w:t>
      </w:r>
      <w:r w:rsidRPr="0045012C">
        <w:rPr>
          <w:sz w:val="24"/>
          <w:szCs w:val="24"/>
        </w:rPr>
        <w:t xml:space="preserve">30 </w:t>
      </w:r>
      <w:r w:rsidR="00170077" w:rsidRPr="0045012C">
        <w:rPr>
          <w:sz w:val="24"/>
          <w:szCs w:val="24"/>
        </w:rPr>
        <w:t>day</w:t>
      </w:r>
      <w:r w:rsidRPr="0045012C">
        <w:rPr>
          <w:sz w:val="24"/>
          <w:szCs w:val="24"/>
        </w:rPr>
        <w:t xml:space="preserve">s, it </w:t>
      </w:r>
      <w:r w:rsidR="006D1097">
        <w:rPr>
          <w:sz w:val="24"/>
          <w:szCs w:val="24"/>
        </w:rPr>
        <w:t xml:space="preserve">is </w:t>
      </w:r>
      <w:r w:rsidRPr="0045012C">
        <w:rPr>
          <w:sz w:val="24"/>
          <w:szCs w:val="24"/>
        </w:rPr>
        <w:t xml:space="preserve">a standard item on the agenda of MinMEC. The challenges remain and they are multi-faceted. </w:t>
      </w:r>
      <w:r w:rsidR="00170077" w:rsidRPr="0045012C">
        <w:rPr>
          <w:sz w:val="24"/>
          <w:szCs w:val="24"/>
        </w:rPr>
        <w:t xml:space="preserve"> </w:t>
      </w:r>
      <w:r w:rsidR="00170077" w:rsidRPr="00170077">
        <w:rPr>
          <w:sz w:val="24"/>
          <w:szCs w:val="24"/>
        </w:rPr>
        <w:t xml:space="preserve">The reasons </w:t>
      </w:r>
      <w:r>
        <w:rPr>
          <w:sz w:val="24"/>
          <w:szCs w:val="24"/>
        </w:rPr>
        <w:t xml:space="preserve">provided by provinces </w:t>
      </w:r>
      <w:r w:rsidR="00170077" w:rsidRPr="00170077">
        <w:rPr>
          <w:sz w:val="24"/>
          <w:szCs w:val="24"/>
        </w:rPr>
        <w:t xml:space="preserve">for the late payment vary from late submission of invoices to verification of information pertaining to those invoices. Sometimes the </w:t>
      </w:r>
      <w:r w:rsidR="00170077" w:rsidRPr="00170077">
        <w:rPr>
          <w:sz w:val="24"/>
          <w:szCs w:val="24"/>
          <w:lang w:val="en-US"/>
        </w:rPr>
        <w:t>required details for new suppliers are not always available in the financial system to facilitate payments due to inadequate completion of registration forms by suppliers.</w:t>
      </w:r>
    </w:p>
    <w:p w:rsidR="00170077" w:rsidRDefault="00170077" w:rsidP="00EB6AA1">
      <w:pPr>
        <w:spacing w:line="480" w:lineRule="auto"/>
        <w:ind w:left="720" w:hanging="720"/>
        <w:jc w:val="both"/>
        <w:rPr>
          <w:b/>
          <w:sz w:val="24"/>
          <w:szCs w:val="24"/>
        </w:rPr>
      </w:pPr>
    </w:p>
    <w:p w:rsidR="00945E78" w:rsidRPr="005A48E4" w:rsidRDefault="0045012C" w:rsidP="00945E78">
      <w:pPr>
        <w:spacing w:line="336" w:lineRule="auto"/>
        <w:jc w:val="both"/>
        <w:rPr>
          <w:b/>
          <w:sz w:val="24"/>
          <w:szCs w:val="24"/>
        </w:rPr>
      </w:pPr>
      <w:r>
        <w:rPr>
          <w:sz w:val="24"/>
          <w:szCs w:val="24"/>
          <w:lang w:val="en-ZA"/>
        </w:rPr>
        <w:t xml:space="preserve">With respect to the provision of names of suppliers or companies, </w:t>
      </w:r>
      <w:r w:rsidRPr="005A48E4">
        <w:rPr>
          <w:sz w:val="24"/>
          <w:szCs w:val="24"/>
          <w:lang w:val="en-ZA"/>
        </w:rPr>
        <w:t>the</w:t>
      </w:r>
      <w:r>
        <w:rPr>
          <w:sz w:val="24"/>
          <w:szCs w:val="24"/>
          <w:lang w:val="en-ZA"/>
        </w:rPr>
        <w:t xml:space="preserve"> Honourable Members is referred to the </w:t>
      </w:r>
      <w:r w:rsidR="00945E78" w:rsidRPr="005A48E4">
        <w:rPr>
          <w:sz w:val="24"/>
          <w:szCs w:val="24"/>
          <w:lang w:val="en-ZA"/>
        </w:rPr>
        <w:t>established practise applicable to parliamentary questions and guidelines contained in the document</w:t>
      </w:r>
      <w:r w:rsidR="00945E78" w:rsidRPr="005A48E4">
        <w:rPr>
          <w:sz w:val="24"/>
          <w:szCs w:val="24"/>
        </w:rPr>
        <w:t xml:space="preserve"> titled, </w:t>
      </w:r>
      <w:r w:rsidR="00945E78" w:rsidRPr="005A48E4">
        <w:rPr>
          <w:i/>
          <w:sz w:val="24"/>
          <w:szCs w:val="24"/>
        </w:rPr>
        <w:t>“Guide to Parliamentary Ques</w:t>
      </w:r>
      <w:r>
        <w:rPr>
          <w:i/>
          <w:sz w:val="24"/>
          <w:szCs w:val="24"/>
        </w:rPr>
        <w:t xml:space="preserve">tions in the National Assembly”. </w:t>
      </w:r>
      <w:r w:rsidR="00945E78" w:rsidRPr="005A48E4">
        <w:rPr>
          <w:i/>
          <w:sz w:val="24"/>
          <w:szCs w:val="24"/>
        </w:rPr>
        <w:t xml:space="preserve"> </w:t>
      </w:r>
      <w:r w:rsidR="00945E78" w:rsidRPr="005A48E4">
        <w:rPr>
          <w:sz w:val="24"/>
          <w:szCs w:val="24"/>
        </w:rPr>
        <w:t xml:space="preserve">The document referred </w:t>
      </w:r>
      <w:r w:rsidR="00945E78" w:rsidRPr="005A48E4">
        <w:rPr>
          <w:sz w:val="24"/>
          <w:szCs w:val="24"/>
        </w:rPr>
        <w:lastRenderedPageBreak/>
        <w:t xml:space="preserve">to prohibits Members of Parliament, including the Executive, </w:t>
      </w:r>
      <w:r w:rsidR="00BE5346" w:rsidRPr="005A48E4">
        <w:rPr>
          <w:sz w:val="24"/>
          <w:szCs w:val="24"/>
        </w:rPr>
        <w:t xml:space="preserve">from </w:t>
      </w:r>
      <w:r w:rsidR="00BE5346" w:rsidRPr="005A48E4">
        <w:rPr>
          <w:i/>
          <w:sz w:val="24"/>
          <w:szCs w:val="24"/>
        </w:rPr>
        <w:t>divulging</w:t>
      </w:r>
      <w:r w:rsidR="00945E78" w:rsidRPr="005A48E4">
        <w:rPr>
          <w:sz w:val="24"/>
          <w:szCs w:val="24"/>
        </w:rPr>
        <w:t xml:space="preserve"> names of persons, bodies when asking or responding to parliamentary questions. </w:t>
      </w:r>
      <w:r>
        <w:rPr>
          <w:sz w:val="24"/>
          <w:szCs w:val="24"/>
        </w:rPr>
        <w:t xml:space="preserve">Accordingly, </w:t>
      </w:r>
      <w:r w:rsidRPr="005A48E4">
        <w:rPr>
          <w:sz w:val="24"/>
          <w:szCs w:val="24"/>
        </w:rPr>
        <w:t xml:space="preserve">I will not provide names of the companies and/or suppliers whose invoices were not paid within the 30 days. </w:t>
      </w:r>
      <w:r w:rsidR="00945E78" w:rsidRPr="005A48E4">
        <w:rPr>
          <w:sz w:val="24"/>
          <w:szCs w:val="24"/>
        </w:rPr>
        <w:t xml:space="preserve">  Th</w:t>
      </w:r>
      <w:r w:rsidR="00954371">
        <w:rPr>
          <w:sz w:val="24"/>
          <w:szCs w:val="24"/>
        </w:rPr>
        <w:t xml:space="preserve">e document referred to </w:t>
      </w:r>
      <w:r w:rsidR="00945E78" w:rsidRPr="005A48E4">
        <w:rPr>
          <w:sz w:val="24"/>
          <w:szCs w:val="24"/>
        </w:rPr>
        <w:t>states the following:</w:t>
      </w:r>
    </w:p>
    <w:p w:rsidR="00945E78" w:rsidRDefault="00945E78" w:rsidP="00945E78">
      <w:pPr>
        <w:tabs>
          <w:tab w:val="left" w:pos="2390"/>
        </w:tabs>
        <w:spacing w:line="336" w:lineRule="auto"/>
        <w:ind w:left="720"/>
        <w:rPr>
          <w:b/>
          <w:sz w:val="24"/>
          <w:szCs w:val="24"/>
        </w:rPr>
      </w:pPr>
      <w:r>
        <w:rPr>
          <w:b/>
          <w:sz w:val="24"/>
          <w:szCs w:val="24"/>
        </w:rPr>
        <w:tab/>
      </w:r>
    </w:p>
    <w:p w:rsidR="00945E78" w:rsidRPr="00142F8E" w:rsidRDefault="00945E78" w:rsidP="00945E78">
      <w:pPr>
        <w:spacing w:line="336"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945E78" w:rsidRDefault="00945E78" w:rsidP="00945E78">
      <w:pPr>
        <w:spacing w:line="336" w:lineRule="auto"/>
        <w:ind w:left="720" w:hanging="720"/>
        <w:jc w:val="both"/>
        <w:rPr>
          <w:color w:val="000000"/>
          <w:sz w:val="24"/>
          <w:szCs w:val="24"/>
          <w:lang w:val="en-ZA"/>
        </w:rPr>
      </w:pPr>
    </w:p>
    <w:p w:rsidR="003749A8" w:rsidRPr="002A1D29" w:rsidRDefault="003749A8" w:rsidP="00945E78">
      <w:pPr>
        <w:spacing w:line="336" w:lineRule="auto"/>
        <w:ind w:left="720" w:hanging="720"/>
        <w:jc w:val="both"/>
        <w:rPr>
          <w:b/>
          <w:color w:val="000000"/>
          <w:sz w:val="24"/>
          <w:szCs w:val="24"/>
          <w:lang w:val="en-ZA"/>
        </w:rPr>
      </w:pPr>
      <w:r w:rsidRPr="002A1D29">
        <w:rPr>
          <w:b/>
          <w:color w:val="000000"/>
          <w:sz w:val="24"/>
          <w:szCs w:val="24"/>
          <w:lang w:val="en-ZA"/>
        </w:rPr>
        <w:t>The information received from provinces is provided below:</w:t>
      </w:r>
    </w:p>
    <w:p w:rsidR="003749A8" w:rsidRDefault="003749A8" w:rsidP="00945E78">
      <w:pPr>
        <w:spacing w:line="336" w:lineRule="auto"/>
        <w:ind w:left="720" w:hanging="720"/>
        <w:jc w:val="both"/>
        <w:rPr>
          <w:color w:val="000000"/>
          <w:sz w:val="24"/>
          <w:szCs w:val="24"/>
          <w:lang w:val="en-ZA"/>
        </w:rPr>
      </w:pPr>
    </w:p>
    <w:p w:rsidR="00BC4EF3" w:rsidRPr="002E7F52" w:rsidRDefault="00BC4EF3" w:rsidP="002E7F52">
      <w:pPr>
        <w:spacing w:line="360" w:lineRule="auto"/>
        <w:jc w:val="both"/>
        <w:rPr>
          <w:b/>
          <w:sz w:val="24"/>
          <w:szCs w:val="24"/>
          <w:lang w:val="en-ZA"/>
        </w:rPr>
      </w:pPr>
      <w:r w:rsidRPr="002E7F52">
        <w:rPr>
          <w:b/>
          <w:sz w:val="24"/>
          <w:szCs w:val="24"/>
          <w:lang w:val="en-ZA"/>
        </w:rPr>
        <w:t>Eastern Cape Province</w:t>
      </w:r>
    </w:p>
    <w:p w:rsidR="00BC4EF3" w:rsidRPr="002E7F52" w:rsidRDefault="002E7F52" w:rsidP="002E7F52">
      <w:pPr>
        <w:pStyle w:val="ListParagraph"/>
        <w:spacing w:line="360" w:lineRule="auto"/>
        <w:ind w:left="0" w:firstLine="720"/>
        <w:contextualSpacing/>
        <w:jc w:val="both"/>
        <w:rPr>
          <w:sz w:val="24"/>
          <w:szCs w:val="24"/>
          <w:lang w:val="en-ZA"/>
        </w:rPr>
      </w:pPr>
      <w:r w:rsidRPr="002E7F52">
        <w:rPr>
          <w:sz w:val="24"/>
          <w:szCs w:val="24"/>
          <w:lang w:val="en-ZA"/>
        </w:rPr>
        <w:t xml:space="preserve">(a) </w:t>
      </w:r>
      <w:r w:rsidR="00BC4EF3" w:rsidRPr="002E7F52">
        <w:rPr>
          <w:sz w:val="24"/>
          <w:szCs w:val="24"/>
          <w:lang w:val="en-ZA"/>
        </w:rPr>
        <w:t>184 invoices remain unpaid by Eastern Cape Province.</w:t>
      </w:r>
    </w:p>
    <w:p w:rsidR="00BC4EF3" w:rsidRPr="002E7F52" w:rsidRDefault="002E7F52" w:rsidP="002E7F52">
      <w:pPr>
        <w:pStyle w:val="ListParagraph"/>
        <w:spacing w:line="360" w:lineRule="auto"/>
        <w:contextualSpacing/>
        <w:jc w:val="both"/>
        <w:rPr>
          <w:sz w:val="24"/>
          <w:szCs w:val="24"/>
          <w:lang w:val="en-ZA"/>
        </w:rPr>
      </w:pPr>
      <w:r w:rsidRPr="002E7F52">
        <w:rPr>
          <w:sz w:val="24"/>
          <w:szCs w:val="24"/>
          <w:lang w:val="en-ZA"/>
        </w:rPr>
        <w:t xml:space="preserve">(b) </w:t>
      </w:r>
      <w:r w:rsidR="00BC4EF3" w:rsidRPr="002E7F52">
        <w:rPr>
          <w:sz w:val="24"/>
          <w:szCs w:val="24"/>
          <w:lang w:val="en-ZA"/>
        </w:rPr>
        <w:t>(ii) The amounts outstanding are included in the table below.</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962"/>
      </w:tblGrid>
      <w:tr w:rsidR="00BC4EF3" w:rsidRPr="002E7F52" w:rsidTr="002E7F52">
        <w:trPr>
          <w:trHeight w:val="540"/>
          <w:tblHeader/>
        </w:trPr>
        <w:tc>
          <w:tcPr>
            <w:tcW w:w="4394" w:type="dxa"/>
            <w:shd w:val="clear" w:color="000000" w:fill="D9D9D9"/>
            <w:vAlign w:val="center"/>
            <w:hideMark/>
          </w:tcPr>
          <w:p w:rsidR="00BC4EF3" w:rsidRPr="002E7F52" w:rsidRDefault="00BC4EF3" w:rsidP="00022F5E">
            <w:pPr>
              <w:rPr>
                <w:b/>
                <w:bCs/>
                <w:sz w:val="24"/>
                <w:szCs w:val="24"/>
              </w:rPr>
            </w:pPr>
            <w:r w:rsidRPr="002E7F52">
              <w:rPr>
                <w:b/>
                <w:bCs/>
                <w:sz w:val="24"/>
                <w:szCs w:val="24"/>
              </w:rPr>
              <w:t>(b)(i) SUPPLIER</w:t>
            </w:r>
          </w:p>
        </w:tc>
        <w:tc>
          <w:tcPr>
            <w:tcW w:w="4962" w:type="dxa"/>
            <w:shd w:val="clear" w:color="000000" w:fill="D9D9D9"/>
            <w:vAlign w:val="center"/>
            <w:hideMark/>
          </w:tcPr>
          <w:p w:rsidR="00BC4EF3" w:rsidRPr="002E7F52" w:rsidRDefault="00BC4EF3" w:rsidP="00022F5E">
            <w:pPr>
              <w:jc w:val="right"/>
              <w:rPr>
                <w:b/>
                <w:bCs/>
                <w:sz w:val="24"/>
                <w:szCs w:val="24"/>
              </w:rPr>
            </w:pPr>
            <w:r w:rsidRPr="002E7F52">
              <w:rPr>
                <w:b/>
                <w:bCs/>
                <w:sz w:val="24"/>
                <w:szCs w:val="24"/>
              </w:rPr>
              <w:t>(ii) AMOUNTS OUTSTANDING</w:t>
            </w:r>
          </w:p>
        </w:tc>
      </w:tr>
      <w:tr w:rsidR="00BC4EF3" w:rsidRPr="002E7F52" w:rsidTr="002E7F52">
        <w:trPr>
          <w:trHeight w:val="347"/>
        </w:trPr>
        <w:tc>
          <w:tcPr>
            <w:tcW w:w="4394" w:type="dxa"/>
            <w:shd w:val="clear" w:color="000000" w:fill="FFFFFF"/>
            <w:vAlign w:val="center"/>
          </w:tcPr>
          <w:p w:rsidR="00BC4EF3" w:rsidRPr="00BE5346" w:rsidRDefault="00BC4EF3" w:rsidP="00216774">
            <w:pPr>
              <w:rPr>
                <w:b/>
                <w:bCs/>
                <w:sz w:val="22"/>
                <w:szCs w:val="22"/>
              </w:rPr>
            </w:pPr>
          </w:p>
        </w:tc>
        <w:tc>
          <w:tcPr>
            <w:tcW w:w="4962" w:type="dxa"/>
            <w:shd w:val="clear" w:color="000000" w:fill="FFFFFF"/>
            <w:vAlign w:val="center"/>
          </w:tcPr>
          <w:p w:rsidR="00BC4EF3" w:rsidRPr="00BE5346" w:rsidRDefault="00BC4EF3" w:rsidP="00216774">
            <w:pPr>
              <w:jc w:val="right"/>
              <w:rPr>
                <w:b/>
                <w:bCs/>
                <w:sz w:val="22"/>
                <w:szCs w:val="22"/>
              </w:rPr>
            </w:pPr>
            <w:r w:rsidRPr="00BE5346">
              <w:rPr>
                <w:b/>
                <w:bCs/>
                <w:sz w:val="22"/>
                <w:szCs w:val="22"/>
              </w:rPr>
              <w:t>R’000</w:t>
            </w:r>
          </w:p>
        </w:tc>
      </w:tr>
      <w:tr w:rsidR="00BC4EF3" w:rsidRPr="002E7F52" w:rsidTr="000576F1">
        <w:trPr>
          <w:trHeight w:val="300"/>
        </w:trPr>
        <w:tc>
          <w:tcPr>
            <w:tcW w:w="4394" w:type="dxa"/>
            <w:shd w:val="clear" w:color="auto" w:fill="E7E6E6"/>
            <w:vAlign w:val="bottom"/>
          </w:tcPr>
          <w:p w:rsidR="00BC4EF3" w:rsidRPr="00BE5346" w:rsidRDefault="00BC4EF3" w:rsidP="00216774">
            <w:pPr>
              <w:rPr>
                <w:b/>
                <w:sz w:val="22"/>
                <w:szCs w:val="22"/>
              </w:rPr>
            </w:pPr>
            <w:r w:rsidRPr="00BE5346">
              <w:rPr>
                <w:b/>
                <w:sz w:val="22"/>
                <w:szCs w:val="22"/>
              </w:rPr>
              <w:t>TOTAL</w:t>
            </w:r>
          </w:p>
        </w:tc>
        <w:tc>
          <w:tcPr>
            <w:tcW w:w="4962" w:type="dxa"/>
            <w:shd w:val="clear" w:color="auto" w:fill="E7E6E6"/>
            <w:noWrap/>
            <w:vAlign w:val="bottom"/>
          </w:tcPr>
          <w:p w:rsidR="00BC4EF3" w:rsidRPr="00BE5346" w:rsidRDefault="00BC4EF3" w:rsidP="00216774">
            <w:pPr>
              <w:jc w:val="right"/>
              <w:rPr>
                <w:b/>
                <w:sz w:val="22"/>
                <w:szCs w:val="22"/>
              </w:rPr>
            </w:pPr>
            <w:r w:rsidRPr="00BE5346">
              <w:rPr>
                <w:b/>
                <w:sz w:val="22"/>
                <w:szCs w:val="22"/>
                <w:lang w:val="en-ZA"/>
              </w:rPr>
              <w:t>176 564 089</w:t>
            </w:r>
          </w:p>
        </w:tc>
      </w:tr>
    </w:tbl>
    <w:p w:rsidR="00BC4EF3" w:rsidRPr="002E7F52" w:rsidRDefault="00BC4EF3" w:rsidP="00BC4EF3">
      <w:pPr>
        <w:spacing w:line="360" w:lineRule="auto"/>
        <w:ind w:left="720"/>
        <w:jc w:val="both"/>
        <w:rPr>
          <w:sz w:val="24"/>
          <w:szCs w:val="24"/>
          <w:lang w:val="en-ZA"/>
        </w:rPr>
      </w:pPr>
    </w:p>
    <w:p w:rsidR="00BC4EF3" w:rsidRPr="002E7F52" w:rsidRDefault="00BC4EF3" w:rsidP="00BC4EF3">
      <w:pPr>
        <w:spacing w:line="360" w:lineRule="auto"/>
        <w:ind w:left="720"/>
        <w:jc w:val="both"/>
        <w:rPr>
          <w:sz w:val="24"/>
          <w:szCs w:val="24"/>
          <w:lang w:val="en-ZA"/>
        </w:rPr>
      </w:pPr>
      <w:r w:rsidRPr="002E7F52">
        <w:rPr>
          <w:sz w:val="24"/>
          <w:szCs w:val="24"/>
          <w:lang w:val="en-ZA"/>
        </w:rPr>
        <w:t xml:space="preserve">(iii) The Eastern Cape Province reported the reason for the non-payment as being the shrinkage of the equitable share over commitments and top slicing at the beginning of the financial year as well as the first tranche of the grant which was not enough to pay all the contractors. </w:t>
      </w:r>
    </w:p>
    <w:p w:rsidR="00BC4EF3" w:rsidRPr="002E7F52" w:rsidRDefault="00BC4EF3" w:rsidP="00BC4EF3">
      <w:pPr>
        <w:spacing w:line="360" w:lineRule="auto"/>
        <w:ind w:left="720"/>
        <w:jc w:val="both"/>
        <w:rPr>
          <w:sz w:val="24"/>
          <w:szCs w:val="24"/>
          <w:lang w:val="en-ZA"/>
        </w:rPr>
      </w:pPr>
    </w:p>
    <w:p w:rsidR="00BC4EF3" w:rsidRDefault="00BC4EF3" w:rsidP="00BC4EF3">
      <w:pPr>
        <w:spacing w:line="360" w:lineRule="auto"/>
        <w:ind w:left="720"/>
        <w:jc w:val="both"/>
        <w:rPr>
          <w:sz w:val="24"/>
          <w:szCs w:val="24"/>
          <w:lang w:val="en-ZA"/>
        </w:rPr>
      </w:pPr>
      <w:r w:rsidRPr="002E7F52">
        <w:rPr>
          <w:sz w:val="24"/>
          <w:szCs w:val="24"/>
          <w:lang w:val="en-ZA"/>
        </w:rPr>
        <w:t xml:space="preserve">(iv) </w:t>
      </w:r>
      <w:r w:rsidR="002A1D29" w:rsidRPr="002E7F52">
        <w:rPr>
          <w:sz w:val="24"/>
          <w:szCs w:val="24"/>
          <w:lang w:val="en-ZA"/>
        </w:rPr>
        <w:t>The Eastern Cape Province</w:t>
      </w:r>
      <w:r w:rsidR="002A1D29">
        <w:rPr>
          <w:sz w:val="24"/>
          <w:szCs w:val="24"/>
          <w:lang w:val="en-ZA"/>
        </w:rPr>
        <w:t xml:space="preserve"> is attending to its cash flow problems and it is hoped that this matter will be resolved soon.</w:t>
      </w:r>
    </w:p>
    <w:p w:rsidR="00BE5346" w:rsidRPr="002E7F52" w:rsidRDefault="00BE5346" w:rsidP="00BC4EF3">
      <w:pPr>
        <w:spacing w:line="360" w:lineRule="auto"/>
        <w:ind w:left="720"/>
        <w:jc w:val="both"/>
        <w:rPr>
          <w:sz w:val="24"/>
          <w:szCs w:val="24"/>
          <w:lang w:val="en-ZA"/>
        </w:rPr>
      </w:pPr>
    </w:p>
    <w:p w:rsidR="00BC4EF3" w:rsidRPr="002E7F52" w:rsidRDefault="00BC4EF3" w:rsidP="00BC4EF3">
      <w:pPr>
        <w:spacing w:line="360" w:lineRule="auto"/>
        <w:ind w:left="720"/>
        <w:jc w:val="both"/>
        <w:rPr>
          <w:b/>
          <w:sz w:val="24"/>
          <w:szCs w:val="24"/>
          <w:lang w:val="en-ZA"/>
        </w:rPr>
      </w:pPr>
      <w:r w:rsidRPr="002E7F52">
        <w:rPr>
          <w:b/>
          <w:sz w:val="24"/>
          <w:szCs w:val="24"/>
          <w:lang w:val="en-ZA"/>
        </w:rPr>
        <w:t>Free State</w:t>
      </w:r>
    </w:p>
    <w:p w:rsidR="00BC4EF3" w:rsidRPr="002E7F52" w:rsidRDefault="00BC4EF3" w:rsidP="00216774">
      <w:pPr>
        <w:pStyle w:val="ListParagraph"/>
        <w:numPr>
          <w:ilvl w:val="0"/>
          <w:numId w:val="4"/>
        </w:numPr>
        <w:spacing w:line="360" w:lineRule="auto"/>
        <w:contextualSpacing/>
        <w:jc w:val="both"/>
        <w:rPr>
          <w:sz w:val="24"/>
          <w:szCs w:val="24"/>
          <w:lang w:val="en-ZA"/>
        </w:rPr>
      </w:pPr>
      <w:r w:rsidRPr="002E7F52">
        <w:rPr>
          <w:sz w:val="24"/>
          <w:szCs w:val="24"/>
          <w:lang w:val="en-ZA"/>
        </w:rPr>
        <w:t xml:space="preserve">227 invoices remain unpaid by the Free State </w:t>
      </w:r>
      <w:r w:rsidR="00BE5346">
        <w:rPr>
          <w:sz w:val="24"/>
          <w:szCs w:val="24"/>
          <w:lang w:val="en-ZA"/>
        </w:rPr>
        <w:t>P</w:t>
      </w:r>
      <w:r w:rsidRPr="002E7F52">
        <w:rPr>
          <w:sz w:val="24"/>
          <w:szCs w:val="24"/>
          <w:lang w:val="en-ZA"/>
        </w:rPr>
        <w:t>rovince</w:t>
      </w:r>
    </w:p>
    <w:p w:rsidR="00BC4EF3" w:rsidRPr="002E7F52" w:rsidRDefault="00BC4EF3" w:rsidP="00216774">
      <w:pPr>
        <w:pStyle w:val="ListParagraph"/>
        <w:numPr>
          <w:ilvl w:val="0"/>
          <w:numId w:val="4"/>
        </w:numPr>
        <w:spacing w:line="360" w:lineRule="auto"/>
        <w:contextualSpacing/>
        <w:jc w:val="both"/>
        <w:rPr>
          <w:sz w:val="24"/>
          <w:szCs w:val="24"/>
          <w:lang w:val="en-ZA"/>
        </w:rPr>
      </w:pPr>
      <w:r w:rsidRPr="002E7F52">
        <w:rPr>
          <w:sz w:val="24"/>
          <w:szCs w:val="24"/>
          <w:lang w:val="en-ZA"/>
        </w:rPr>
        <w:t>(ii) The amounts outstanding are included in the table below</w:t>
      </w:r>
      <w:r w:rsidR="00BE5346">
        <w:rPr>
          <w:sz w:val="24"/>
          <w:szCs w:val="24"/>
          <w:lang w:val="en-ZA"/>
        </w:rPr>
        <w:t>:</w:t>
      </w:r>
    </w:p>
    <w:tbl>
      <w:tblPr>
        <w:tblW w:w="9309" w:type="dxa"/>
        <w:tblInd w:w="864" w:type="dxa"/>
        <w:tblLook w:val="04A0"/>
      </w:tblPr>
      <w:tblGrid>
        <w:gridCol w:w="5623"/>
        <w:gridCol w:w="3686"/>
      </w:tblGrid>
      <w:tr w:rsidR="00BC4EF3" w:rsidRPr="002E7F52" w:rsidTr="000576F1">
        <w:trPr>
          <w:trHeight w:val="300"/>
          <w:tblHeader/>
        </w:trPr>
        <w:tc>
          <w:tcPr>
            <w:tcW w:w="5623"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BC4EF3" w:rsidRPr="002E7F52" w:rsidRDefault="00BC4EF3" w:rsidP="00216774">
            <w:pPr>
              <w:jc w:val="center"/>
              <w:rPr>
                <w:b/>
                <w:bCs/>
                <w:color w:val="000000"/>
                <w:sz w:val="24"/>
                <w:szCs w:val="24"/>
              </w:rPr>
            </w:pPr>
            <w:r w:rsidRPr="002E7F52">
              <w:rPr>
                <w:b/>
                <w:bCs/>
                <w:color w:val="000000"/>
                <w:sz w:val="24"/>
                <w:szCs w:val="24"/>
              </w:rPr>
              <w:t>(b)(i) SUPPLIER</w:t>
            </w:r>
          </w:p>
        </w:tc>
        <w:tc>
          <w:tcPr>
            <w:tcW w:w="3686" w:type="dxa"/>
            <w:tcBorders>
              <w:top w:val="single" w:sz="4" w:space="0" w:color="auto"/>
              <w:left w:val="nil"/>
              <w:bottom w:val="single" w:sz="4" w:space="0" w:color="auto"/>
              <w:right w:val="single" w:sz="4" w:space="0" w:color="auto"/>
            </w:tcBorders>
            <w:shd w:val="clear" w:color="auto" w:fill="E7E6E6"/>
            <w:noWrap/>
            <w:vAlign w:val="center"/>
            <w:hideMark/>
          </w:tcPr>
          <w:p w:rsidR="00BC4EF3" w:rsidRPr="002E7F52" w:rsidRDefault="00BC4EF3" w:rsidP="00216774">
            <w:pPr>
              <w:jc w:val="center"/>
              <w:rPr>
                <w:b/>
                <w:bCs/>
                <w:color w:val="000000"/>
                <w:sz w:val="24"/>
                <w:szCs w:val="24"/>
              </w:rPr>
            </w:pPr>
            <w:r w:rsidRPr="002E7F52">
              <w:rPr>
                <w:b/>
                <w:bCs/>
                <w:color w:val="000000"/>
                <w:sz w:val="24"/>
                <w:szCs w:val="24"/>
              </w:rPr>
              <w:t>(ii) AMOUNTS OUTSTANDING</w:t>
            </w:r>
          </w:p>
        </w:tc>
      </w:tr>
      <w:tr w:rsidR="00BC4EF3" w:rsidRPr="002E7F52" w:rsidTr="002E7F52">
        <w:trPr>
          <w:trHeight w:val="300"/>
        </w:trPr>
        <w:tc>
          <w:tcPr>
            <w:tcW w:w="5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EF3" w:rsidRPr="002E7F52" w:rsidRDefault="00BC4EF3" w:rsidP="00216774">
            <w:pPr>
              <w:rPr>
                <w:b/>
                <w:bCs/>
                <w:color w:val="000000"/>
                <w:sz w:val="24"/>
                <w:szCs w:val="24"/>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C4EF3" w:rsidRPr="002E7F52" w:rsidRDefault="00BC4EF3" w:rsidP="00216774">
            <w:pPr>
              <w:jc w:val="right"/>
              <w:rPr>
                <w:b/>
                <w:bCs/>
                <w:color w:val="000000"/>
                <w:sz w:val="24"/>
                <w:szCs w:val="24"/>
              </w:rPr>
            </w:pPr>
            <w:r w:rsidRPr="002E7F52">
              <w:rPr>
                <w:b/>
                <w:bCs/>
                <w:color w:val="000000"/>
                <w:sz w:val="24"/>
                <w:szCs w:val="24"/>
              </w:rPr>
              <w:t>R’000</w:t>
            </w:r>
          </w:p>
        </w:tc>
      </w:tr>
      <w:tr w:rsidR="00BC4EF3" w:rsidRPr="002E7F52" w:rsidTr="002E7F52">
        <w:trPr>
          <w:trHeight w:val="300"/>
        </w:trPr>
        <w:tc>
          <w:tcPr>
            <w:tcW w:w="5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EF3" w:rsidRPr="002E7F52" w:rsidRDefault="00BC4EF3" w:rsidP="00216774">
            <w:pPr>
              <w:rPr>
                <w:b/>
                <w:color w:val="000000"/>
                <w:sz w:val="24"/>
                <w:szCs w:val="24"/>
              </w:rPr>
            </w:pPr>
            <w:r w:rsidRPr="002E7F52">
              <w:rPr>
                <w:b/>
                <w:color w:val="000000"/>
                <w:sz w:val="24"/>
                <w:szCs w:val="24"/>
              </w:rPr>
              <w:t>TOTAL</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C4EF3" w:rsidRPr="002E7F52" w:rsidRDefault="00BC4EF3" w:rsidP="00216774">
            <w:pPr>
              <w:jc w:val="right"/>
              <w:rPr>
                <w:b/>
                <w:color w:val="000000"/>
                <w:sz w:val="24"/>
                <w:szCs w:val="24"/>
              </w:rPr>
            </w:pPr>
            <w:r w:rsidRPr="002E7F52">
              <w:rPr>
                <w:b/>
                <w:sz w:val="24"/>
                <w:szCs w:val="24"/>
                <w:lang w:val="en-ZA"/>
              </w:rPr>
              <w:t>122 196 958</w:t>
            </w:r>
          </w:p>
        </w:tc>
      </w:tr>
    </w:tbl>
    <w:p w:rsidR="00BC4EF3" w:rsidRPr="002E7F52" w:rsidRDefault="00BC4EF3" w:rsidP="00BC4EF3">
      <w:pPr>
        <w:spacing w:line="360" w:lineRule="auto"/>
        <w:ind w:left="720"/>
        <w:jc w:val="both"/>
        <w:rPr>
          <w:sz w:val="24"/>
          <w:szCs w:val="24"/>
          <w:lang w:val="en-ZA"/>
        </w:rPr>
      </w:pPr>
      <w:r w:rsidRPr="002E7F52">
        <w:rPr>
          <w:sz w:val="24"/>
          <w:szCs w:val="24"/>
          <w:lang w:val="en-ZA"/>
        </w:rPr>
        <w:t xml:space="preserve"> </w:t>
      </w:r>
    </w:p>
    <w:p w:rsidR="00BC4EF3" w:rsidRPr="002E7F52" w:rsidRDefault="00BC4EF3" w:rsidP="00BC4EF3">
      <w:pPr>
        <w:spacing w:line="360" w:lineRule="auto"/>
        <w:jc w:val="both"/>
        <w:rPr>
          <w:sz w:val="24"/>
          <w:szCs w:val="24"/>
          <w:lang w:val="en-ZA"/>
        </w:rPr>
      </w:pPr>
    </w:p>
    <w:p w:rsidR="00BC4EF3" w:rsidRPr="002E7F52" w:rsidRDefault="00BC4EF3" w:rsidP="00BC4EF3">
      <w:pPr>
        <w:spacing w:line="360" w:lineRule="auto"/>
        <w:ind w:left="720"/>
        <w:jc w:val="both"/>
        <w:rPr>
          <w:sz w:val="24"/>
          <w:szCs w:val="24"/>
          <w:lang w:val="en-ZA"/>
        </w:rPr>
      </w:pPr>
      <w:r w:rsidRPr="002E7F52">
        <w:rPr>
          <w:sz w:val="24"/>
          <w:szCs w:val="24"/>
          <w:lang w:val="en-ZA"/>
        </w:rPr>
        <w:t xml:space="preserve">(b)(iii) The Free State Province reported the reason for non-payment as due to insufficient funds being available for fund </w:t>
      </w:r>
      <w:r w:rsidR="002E7F52" w:rsidRPr="002E7F52">
        <w:rPr>
          <w:sz w:val="24"/>
          <w:szCs w:val="24"/>
          <w:lang w:val="en-ZA"/>
        </w:rPr>
        <w:t>commitments</w:t>
      </w:r>
      <w:r w:rsidR="00BE5346">
        <w:rPr>
          <w:sz w:val="24"/>
          <w:szCs w:val="24"/>
          <w:lang w:val="en-ZA"/>
        </w:rPr>
        <w:t>.</w:t>
      </w:r>
    </w:p>
    <w:p w:rsidR="00BC4EF3" w:rsidRPr="002E7F52" w:rsidRDefault="00BC4EF3" w:rsidP="00BC4EF3">
      <w:pPr>
        <w:spacing w:line="360" w:lineRule="auto"/>
        <w:ind w:left="1418" w:hanging="698"/>
        <w:jc w:val="both"/>
        <w:rPr>
          <w:sz w:val="24"/>
          <w:szCs w:val="24"/>
          <w:lang w:val="en-ZA"/>
        </w:rPr>
      </w:pPr>
    </w:p>
    <w:p w:rsidR="00BC4EF3" w:rsidRPr="002E7F52" w:rsidRDefault="00BC4EF3" w:rsidP="00BC4EF3">
      <w:pPr>
        <w:spacing w:line="360" w:lineRule="auto"/>
        <w:ind w:left="1418" w:hanging="698"/>
        <w:jc w:val="both"/>
        <w:rPr>
          <w:sz w:val="24"/>
          <w:szCs w:val="24"/>
          <w:lang w:val="en-ZA"/>
        </w:rPr>
      </w:pPr>
      <w:r w:rsidRPr="002E7F52">
        <w:rPr>
          <w:sz w:val="24"/>
          <w:szCs w:val="24"/>
          <w:lang w:val="en-ZA"/>
        </w:rPr>
        <w:t xml:space="preserve">(b)(iv)The Free State Department of Human Settlements has commenced honouring these claims in the 2017/2018 financial year as funding is disbursed from the National Department of Human Settlements. As at 24 May 2017 an amount of R46 million was still outstanding for payment which will be settled </w:t>
      </w:r>
      <w:r w:rsidR="002A1D29">
        <w:rPr>
          <w:sz w:val="24"/>
          <w:szCs w:val="24"/>
          <w:lang w:val="en-ZA"/>
        </w:rPr>
        <w:t>soon</w:t>
      </w:r>
      <w:r w:rsidRPr="002E7F52">
        <w:rPr>
          <w:sz w:val="24"/>
          <w:szCs w:val="24"/>
          <w:lang w:val="en-ZA"/>
        </w:rPr>
        <w:t>.</w:t>
      </w:r>
    </w:p>
    <w:p w:rsidR="00BC4EF3" w:rsidRPr="002E7F52" w:rsidRDefault="00BC4EF3" w:rsidP="00BC4EF3">
      <w:pPr>
        <w:spacing w:line="360" w:lineRule="auto"/>
        <w:ind w:left="720"/>
        <w:jc w:val="both"/>
        <w:rPr>
          <w:sz w:val="24"/>
          <w:szCs w:val="24"/>
          <w:lang w:val="en-ZA"/>
        </w:rPr>
      </w:pPr>
    </w:p>
    <w:p w:rsidR="00BC4EF3" w:rsidRPr="002E7F52" w:rsidRDefault="00BC4EF3" w:rsidP="00BC4EF3">
      <w:pPr>
        <w:spacing w:line="360" w:lineRule="auto"/>
        <w:ind w:left="720"/>
        <w:jc w:val="both"/>
        <w:rPr>
          <w:b/>
          <w:sz w:val="24"/>
          <w:szCs w:val="24"/>
          <w:lang w:val="en-ZA"/>
        </w:rPr>
      </w:pPr>
      <w:r w:rsidRPr="002E7F52">
        <w:rPr>
          <w:b/>
          <w:sz w:val="24"/>
          <w:szCs w:val="24"/>
          <w:lang w:val="en-ZA"/>
        </w:rPr>
        <w:t>Gauteng Province</w:t>
      </w:r>
    </w:p>
    <w:p w:rsidR="00BC4EF3" w:rsidRPr="002E7F52" w:rsidRDefault="00BC4EF3" w:rsidP="00216774">
      <w:pPr>
        <w:pStyle w:val="ListParagraph"/>
        <w:numPr>
          <w:ilvl w:val="0"/>
          <w:numId w:val="6"/>
        </w:numPr>
        <w:spacing w:line="360" w:lineRule="auto"/>
        <w:contextualSpacing/>
        <w:jc w:val="both"/>
        <w:rPr>
          <w:sz w:val="24"/>
          <w:szCs w:val="24"/>
          <w:lang w:val="en-ZA"/>
        </w:rPr>
      </w:pPr>
      <w:r w:rsidRPr="002E7F52">
        <w:rPr>
          <w:sz w:val="24"/>
          <w:szCs w:val="24"/>
          <w:lang w:val="en-ZA"/>
        </w:rPr>
        <w:t>824 invoices remain unpaid by the Free State province</w:t>
      </w:r>
    </w:p>
    <w:p w:rsidR="00BC4EF3" w:rsidRPr="005A48E4" w:rsidRDefault="00BC4EF3" w:rsidP="00936B5A">
      <w:pPr>
        <w:pStyle w:val="ListParagraph"/>
        <w:numPr>
          <w:ilvl w:val="0"/>
          <w:numId w:val="6"/>
        </w:numPr>
        <w:spacing w:line="360" w:lineRule="auto"/>
        <w:contextualSpacing/>
        <w:jc w:val="both"/>
        <w:rPr>
          <w:sz w:val="24"/>
          <w:szCs w:val="24"/>
          <w:lang w:val="en-ZA"/>
        </w:rPr>
      </w:pPr>
      <w:r w:rsidRPr="005A48E4">
        <w:rPr>
          <w:sz w:val="24"/>
          <w:szCs w:val="24"/>
          <w:lang w:val="en-ZA"/>
        </w:rPr>
        <w:t>(ii) The amounts outstanding are included in the table below</w:t>
      </w:r>
      <w:r w:rsidR="005A48E4" w:rsidRPr="005A48E4">
        <w:rPr>
          <w:sz w:val="24"/>
          <w:szCs w:val="24"/>
          <w:lang w:val="en-ZA"/>
        </w:rPr>
        <w:t>:</w:t>
      </w:r>
    </w:p>
    <w:tbl>
      <w:tblPr>
        <w:tblW w:w="9356" w:type="dxa"/>
        <w:tblInd w:w="817" w:type="dxa"/>
        <w:tblLook w:val="04A0"/>
      </w:tblPr>
      <w:tblGrid>
        <w:gridCol w:w="4961"/>
        <w:gridCol w:w="4395"/>
      </w:tblGrid>
      <w:tr w:rsidR="00BC4EF3" w:rsidRPr="002E7F52" w:rsidTr="002E7F52">
        <w:trPr>
          <w:trHeight w:val="300"/>
          <w:tblHeader/>
        </w:trPr>
        <w:tc>
          <w:tcPr>
            <w:tcW w:w="496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C4EF3" w:rsidRPr="002E7F52" w:rsidRDefault="00BC4EF3" w:rsidP="00216774">
            <w:pPr>
              <w:jc w:val="center"/>
              <w:rPr>
                <w:bCs/>
                <w:color w:val="000000"/>
                <w:sz w:val="24"/>
                <w:szCs w:val="24"/>
              </w:rPr>
            </w:pPr>
            <w:r w:rsidRPr="002E7F52">
              <w:rPr>
                <w:b/>
                <w:bCs/>
                <w:color w:val="000000"/>
                <w:sz w:val="24"/>
                <w:szCs w:val="24"/>
              </w:rPr>
              <w:t>(b)(i) SUPPLIER</w:t>
            </w:r>
          </w:p>
        </w:tc>
        <w:tc>
          <w:tcPr>
            <w:tcW w:w="4395" w:type="dxa"/>
            <w:tcBorders>
              <w:top w:val="single" w:sz="4" w:space="0" w:color="auto"/>
              <w:left w:val="nil"/>
              <w:bottom w:val="single" w:sz="4" w:space="0" w:color="auto"/>
              <w:right w:val="single" w:sz="4" w:space="0" w:color="auto"/>
            </w:tcBorders>
            <w:shd w:val="clear" w:color="auto" w:fill="D9D9D9"/>
            <w:noWrap/>
            <w:vAlign w:val="bottom"/>
            <w:hideMark/>
          </w:tcPr>
          <w:p w:rsidR="00BC4EF3" w:rsidRPr="002E7F52" w:rsidRDefault="00BC4EF3" w:rsidP="00216774">
            <w:pPr>
              <w:jc w:val="center"/>
              <w:rPr>
                <w:b/>
                <w:bCs/>
                <w:color w:val="000000"/>
                <w:sz w:val="24"/>
                <w:szCs w:val="24"/>
              </w:rPr>
            </w:pPr>
            <w:r w:rsidRPr="002E7F52">
              <w:rPr>
                <w:b/>
                <w:bCs/>
                <w:color w:val="000000"/>
                <w:sz w:val="24"/>
                <w:szCs w:val="24"/>
              </w:rPr>
              <w:t>(ii) AMOUNTS OUTSTANDING</w:t>
            </w:r>
          </w:p>
        </w:tc>
      </w:tr>
      <w:tr w:rsidR="00BC4EF3" w:rsidRPr="002E7F52" w:rsidTr="002E7F52">
        <w:trPr>
          <w:trHeight w:val="370"/>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EF3" w:rsidRPr="002E7F52" w:rsidRDefault="00BC4EF3" w:rsidP="00216774">
            <w:pPr>
              <w:rPr>
                <w:b/>
                <w:bCs/>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BC4EF3" w:rsidRPr="002E7F52" w:rsidRDefault="00BC4EF3" w:rsidP="00216774">
            <w:pPr>
              <w:jc w:val="right"/>
              <w:rPr>
                <w:b/>
                <w:bCs/>
                <w:color w:val="000000"/>
                <w:sz w:val="24"/>
                <w:szCs w:val="24"/>
              </w:rPr>
            </w:pPr>
            <w:r w:rsidRPr="002E7F52">
              <w:rPr>
                <w:b/>
                <w:bCs/>
                <w:color w:val="000000"/>
                <w:sz w:val="24"/>
                <w:szCs w:val="24"/>
              </w:rPr>
              <w:t>R’000</w:t>
            </w:r>
          </w:p>
        </w:tc>
      </w:tr>
      <w:tr w:rsidR="00BC4EF3" w:rsidRPr="002E7F52" w:rsidTr="000576F1">
        <w:trPr>
          <w:trHeight w:val="339"/>
        </w:trPr>
        <w:tc>
          <w:tcPr>
            <w:tcW w:w="4961"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BC4EF3" w:rsidRPr="002E7F52" w:rsidRDefault="00BC4EF3" w:rsidP="00216774">
            <w:pPr>
              <w:rPr>
                <w:b/>
                <w:bCs/>
                <w:color w:val="000000"/>
                <w:sz w:val="24"/>
                <w:szCs w:val="24"/>
              </w:rPr>
            </w:pPr>
            <w:r w:rsidRPr="002E7F52">
              <w:rPr>
                <w:b/>
                <w:bCs/>
                <w:color w:val="000000"/>
                <w:sz w:val="24"/>
                <w:szCs w:val="24"/>
              </w:rPr>
              <w:t>TOTAL</w:t>
            </w:r>
          </w:p>
        </w:tc>
        <w:tc>
          <w:tcPr>
            <w:tcW w:w="4395"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BC4EF3" w:rsidRPr="002E7F52" w:rsidRDefault="00BC4EF3" w:rsidP="00216774">
            <w:pPr>
              <w:jc w:val="right"/>
              <w:rPr>
                <w:b/>
                <w:bCs/>
                <w:color w:val="000000"/>
                <w:sz w:val="24"/>
                <w:szCs w:val="24"/>
              </w:rPr>
            </w:pPr>
            <w:r w:rsidRPr="002E7F52">
              <w:rPr>
                <w:b/>
                <w:bCs/>
                <w:color w:val="000000"/>
                <w:sz w:val="24"/>
                <w:szCs w:val="24"/>
              </w:rPr>
              <w:t xml:space="preserve">          597 600 355.14 </w:t>
            </w:r>
          </w:p>
        </w:tc>
      </w:tr>
    </w:tbl>
    <w:p w:rsidR="00BC4EF3" w:rsidRPr="002E7F52" w:rsidRDefault="00BC4EF3" w:rsidP="00BC4EF3">
      <w:pPr>
        <w:spacing w:line="360" w:lineRule="auto"/>
        <w:ind w:left="720"/>
        <w:jc w:val="both"/>
        <w:rPr>
          <w:sz w:val="24"/>
          <w:szCs w:val="24"/>
          <w:lang w:val="en-ZA"/>
        </w:rPr>
      </w:pPr>
    </w:p>
    <w:p w:rsidR="00BC4EF3" w:rsidRPr="002E7F52" w:rsidRDefault="00BC4EF3" w:rsidP="00BC4EF3">
      <w:pPr>
        <w:spacing w:line="360" w:lineRule="auto"/>
        <w:ind w:left="1560" w:hanging="840"/>
        <w:jc w:val="both"/>
        <w:rPr>
          <w:sz w:val="24"/>
          <w:szCs w:val="24"/>
          <w:lang w:val="en-ZA"/>
        </w:rPr>
      </w:pPr>
      <w:r w:rsidRPr="002E7F52">
        <w:rPr>
          <w:sz w:val="24"/>
          <w:szCs w:val="24"/>
          <w:lang w:val="en-ZA"/>
        </w:rPr>
        <w:t xml:space="preserve"> (b)(iii) The Gauteng Department </w:t>
      </w:r>
      <w:r w:rsidR="00BE5346">
        <w:rPr>
          <w:sz w:val="24"/>
          <w:szCs w:val="24"/>
          <w:lang w:val="en-ZA"/>
        </w:rPr>
        <w:t xml:space="preserve">advised that it </w:t>
      </w:r>
      <w:r w:rsidRPr="002E7F52">
        <w:rPr>
          <w:sz w:val="24"/>
          <w:szCs w:val="24"/>
          <w:lang w:val="en-ZA"/>
        </w:rPr>
        <w:t>could not make payments linked to the Human Settlements Development Conditional Grants (HSDG) as from 1</w:t>
      </w:r>
      <w:r w:rsidRPr="002E7F52">
        <w:rPr>
          <w:sz w:val="24"/>
          <w:szCs w:val="24"/>
          <w:vertAlign w:val="superscript"/>
          <w:lang w:val="en-ZA"/>
        </w:rPr>
        <w:t>st</w:t>
      </w:r>
      <w:r w:rsidRPr="002E7F52">
        <w:rPr>
          <w:sz w:val="24"/>
          <w:szCs w:val="24"/>
          <w:lang w:val="en-ZA"/>
        </w:rPr>
        <w:t xml:space="preserve"> April 2017 until Mid-May 2017, mainly because the first payment tranche for the 2017/18 financial year was transferred in late May from National department of Human Settlements. The reason for the late transfer of the first tranche is that the business plan was not able to be approved by the National Department, due to non-compliance and the Division of Revenue Act, which prohibits the transfer of funds before approval of the business plan.</w:t>
      </w:r>
    </w:p>
    <w:p w:rsidR="00BC4EF3" w:rsidRPr="002E7F52" w:rsidRDefault="00BC4EF3" w:rsidP="00BC4EF3">
      <w:pPr>
        <w:spacing w:line="360" w:lineRule="auto"/>
        <w:ind w:left="720"/>
        <w:jc w:val="both"/>
        <w:rPr>
          <w:sz w:val="24"/>
          <w:szCs w:val="24"/>
          <w:lang w:val="en-ZA"/>
        </w:rPr>
      </w:pPr>
    </w:p>
    <w:p w:rsidR="00BC4EF3" w:rsidRPr="002E7F52" w:rsidRDefault="00BC4EF3" w:rsidP="00BC4EF3">
      <w:pPr>
        <w:spacing w:line="360" w:lineRule="auto"/>
        <w:ind w:left="1560" w:hanging="840"/>
        <w:jc w:val="both"/>
        <w:rPr>
          <w:sz w:val="24"/>
          <w:szCs w:val="24"/>
          <w:lang w:val="en-ZA"/>
        </w:rPr>
      </w:pPr>
      <w:r w:rsidRPr="002E7F52">
        <w:rPr>
          <w:sz w:val="24"/>
          <w:szCs w:val="24"/>
          <w:lang w:val="en-ZA"/>
        </w:rPr>
        <w:t>(b)(iv) The Gauteng Department of Human Settlements plans to pay the outstanding invoices within the month of June.</w:t>
      </w:r>
    </w:p>
    <w:p w:rsidR="00BC4EF3" w:rsidRPr="002E7F52" w:rsidRDefault="00BC4EF3" w:rsidP="00BC4EF3">
      <w:pPr>
        <w:spacing w:line="360" w:lineRule="auto"/>
        <w:jc w:val="both"/>
        <w:rPr>
          <w:b/>
          <w:sz w:val="24"/>
          <w:szCs w:val="24"/>
          <w:lang w:val="en-ZA"/>
        </w:rPr>
      </w:pPr>
    </w:p>
    <w:p w:rsidR="00BC4EF3" w:rsidRPr="002E7F52" w:rsidRDefault="00BC4EF3" w:rsidP="00BC4EF3">
      <w:pPr>
        <w:spacing w:line="360" w:lineRule="auto"/>
        <w:ind w:left="720"/>
        <w:jc w:val="both"/>
        <w:rPr>
          <w:b/>
          <w:sz w:val="24"/>
          <w:szCs w:val="24"/>
          <w:lang w:val="en-ZA"/>
        </w:rPr>
      </w:pPr>
      <w:r w:rsidRPr="002E7F52">
        <w:rPr>
          <w:b/>
          <w:sz w:val="24"/>
          <w:szCs w:val="24"/>
          <w:lang w:val="en-ZA"/>
        </w:rPr>
        <w:t>KwaZulu-Natal</w:t>
      </w:r>
    </w:p>
    <w:p w:rsidR="00BC4EF3" w:rsidRPr="002E7F52" w:rsidRDefault="00BC4EF3" w:rsidP="00BC4EF3">
      <w:pPr>
        <w:spacing w:line="360" w:lineRule="auto"/>
        <w:ind w:left="720"/>
        <w:jc w:val="both"/>
        <w:rPr>
          <w:b/>
          <w:sz w:val="24"/>
          <w:szCs w:val="24"/>
          <w:lang w:val="en-ZA"/>
        </w:rPr>
      </w:pPr>
    </w:p>
    <w:p w:rsidR="00BC4EF3" w:rsidRPr="002E7F52" w:rsidRDefault="00BC4EF3" w:rsidP="00216774">
      <w:pPr>
        <w:pStyle w:val="ListParagraph"/>
        <w:numPr>
          <w:ilvl w:val="0"/>
          <w:numId w:val="2"/>
        </w:numPr>
        <w:spacing w:line="360" w:lineRule="auto"/>
        <w:contextualSpacing/>
        <w:jc w:val="both"/>
        <w:rPr>
          <w:sz w:val="24"/>
          <w:szCs w:val="24"/>
          <w:lang w:val="en-ZA"/>
        </w:rPr>
      </w:pPr>
      <w:r w:rsidRPr="002E7F52">
        <w:rPr>
          <w:sz w:val="24"/>
          <w:szCs w:val="24"/>
          <w:lang w:val="en-ZA"/>
        </w:rPr>
        <w:t>The province did not have any invoices that were unpaid for more than 30 days.</w:t>
      </w:r>
    </w:p>
    <w:p w:rsidR="00BC4EF3" w:rsidRPr="002E7F52" w:rsidRDefault="00BC4EF3" w:rsidP="00BC4EF3">
      <w:pPr>
        <w:spacing w:line="360" w:lineRule="auto"/>
        <w:jc w:val="both"/>
        <w:rPr>
          <w:sz w:val="24"/>
          <w:szCs w:val="24"/>
          <w:lang w:val="en-ZA"/>
        </w:rPr>
      </w:pPr>
    </w:p>
    <w:p w:rsidR="00BC4EF3" w:rsidRPr="002E7F52" w:rsidRDefault="00BC4EF3" w:rsidP="00BC4EF3">
      <w:pPr>
        <w:spacing w:line="360" w:lineRule="auto"/>
        <w:ind w:left="720"/>
        <w:jc w:val="both"/>
        <w:rPr>
          <w:b/>
          <w:sz w:val="24"/>
          <w:szCs w:val="24"/>
          <w:lang w:val="en-ZA"/>
        </w:rPr>
      </w:pPr>
      <w:r w:rsidRPr="002E7F52">
        <w:rPr>
          <w:b/>
          <w:sz w:val="24"/>
          <w:szCs w:val="24"/>
          <w:lang w:val="en-ZA"/>
        </w:rPr>
        <w:t>Limpopo Province</w:t>
      </w:r>
    </w:p>
    <w:p w:rsidR="00BC4EF3" w:rsidRPr="002E7F52" w:rsidRDefault="00BC4EF3" w:rsidP="00216774">
      <w:pPr>
        <w:pStyle w:val="ListParagraph"/>
        <w:numPr>
          <w:ilvl w:val="0"/>
          <w:numId w:val="5"/>
        </w:numPr>
        <w:spacing w:line="360" w:lineRule="auto"/>
        <w:contextualSpacing/>
        <w:jc w:val="both"/>
        <w:rPr>
          <w:sz w:val="24"/>
          <w:szCs w:val="24"/>
          <w:lang w:val="en-ZA"/>
        </w:rPr>
      </w:pPr>
      <w:r w:rsidRPr="002E7F52">
        <w:rPr>
          <w:sz w:val="24"/>
          <w:szCs w:val="24"/>
          <w:lang w:val="en-ZA"/>
        </w:rPr>
        <w:t>3 invoices remain unpaid by the Limpopo province</w:t>
      </w:r>
    </w:p>
    <w:p w:rsidR="00BC4EF3" w:rsidRPr="005A48E4" w:rsidRDefault="00BC4EF3" w:rsidP="00936B5A">
      <w:pPr>
        <w:pStyle w:val="ListParagraph"/>
        <w:numPr>
          <w:ilvl w:val="0"/>
          <w:numId w:val="5"/>
        </w:numPr>
        <w:spacing w:line="360" w:lineRule="auto"/>
        <w:contextualSpacing/>
        <w:jc w:val="both"/>
        <w:rPr>
          <w:sz w:val="24"/>
          <w:szCs w:val="24"/>
          <w:lang w:val="en-ZA"/>
        </w:rPr>
      </w:pPr>
      <w:r w:rsidRPr="005A48E4">
        <w:rPr>
          <w:sz w:val="24"/>
          <w:szCs w:val="24"/>
          <w:lang w:val="en-ZA"/>
        </w:rPr>
        <w:t>(ii) The amounts outstanding are included in the table below</w:t>
      </w:r>
      <w:r w:rsidR="00BE5346" w:rsidRPr="005A48E4">
        <w:rPr>
          <w:sz w:val="24"/>
          <w:szCs w:val="24"/>
          <w:lang w:val="en-ZA"/>
        </w:rPr>
        <w:t>:</w:t>
      </w:r>
    </w:p>
    <w:tbl>
      <w:tblPr>
        <w:tblW w:w="9356" w:type="dxa"/>
        <w:tblInd w:w="817" w:type="dxa"/>
        <w:tblLook w:val="04A0"/>
      </w:tblPr>
      <w:tblGrid>
        <w:gridCol w:w="2410"/>
        <w:gridCol w:w="6946"/>
      </w:tblGrid>
      <w:tr w:rsidR="00B30D4B" w:rsidRPr="002E7F52" w:rsidTr="00B30D4B">
        <w:trPr>
          <w:trHeight w:val="463"/>
        </w:trPr>
        <w:tc>
          <w:tcPr>
            <w:tcW w:w="241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30D4B" w:rsidRPr="002E7F52" w:rsidRDefault="00B30D4B" w:rsidP="00216774">
            <w:pPr>
              <w:jc w:val="center"/>
              <w:rPr>
                <w:b/>
                <w:bCs/>
                <w:color w:val="000000"/>
                <w:sz w:val="24"/>
                <w:szCs w:val="24"/>
              </w:rPr>
            </w:pPr>
            <w:r w:rsidRPr="002E7F52">
              <w:rPr>
                <w:b/>
                <w:bCs/>
                <w:color w:val="000000"/>
                <w:sz w:val="24"/>
                <w:szCs w:val="24"/>
              </w:rPr>
              <w:t>(b)(i) SUPPLIER</w:t>
            </w:r>
          </w:p>
        </w:tc>
        <w:tc>
          <w:tcPr>
            <w:tcW w:w="6946" w:type="dxa"/>
            <w:tcBorders>
              <w:top w:val="single" w:sz="4" w:space="0" w:color="auto"/>
              <w:left w:val="nil"/>
              <w:bottom w:val="single" w:sz="4" w:space="0" w:color="auto"/>
              <w:right w:val="single" w:sz="4" w:space="0" w:color="auto"/>
            </w:tcBorders>
            <w:shd w:val="clear" w:color="auto" w:fill="D9D9D9"/>
            <w:vAlign w:val="bottom"/>
            <w:hideMark/>
          </w:tcPr>
          <w:p w:rsidR="00B30D4B" w:rsidRPr="002E7F52" w:rsidRDefault="00B30D4B" w:rsidP="00216774">
            <w:pPr>
              <w:jc w:val="center"/>
              <w:rPr>
                <w:b/>
                <w:bCs/>
                <w:color w:val="000000"/>
                <w:sz w:val="24"/>
                <w:szCs w:val="24"/>
              </w:rPr>
            </w:pPr>
            <w:r w:rsidRPr="002E7F52">
              <w:rPr>
                <w:b/>
                <w:bCs/>
                <w:color w:val="000000"/>
                <w:sz w:val="24"/>
                <w:szCs w:val="24"/>
              </w:rPr>
              <w:t>(ii) AMOUNTS OUTSTANDING</w:t>
            </w:r>
          </w:p>
        </w:tc>
      </w:tr>
      <w:tr w:rsidR="00B30D4B" w:rsidRPr="002E7F52" w:rsidTr="00B30D4B">
        <w:trPr>
          <w:trHeight w:val="399"/>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30D4B" w:rsidRPr="002E7F52" w:rsidRDefault="00B30D4B" w:rsidP="00216774">
            <w:pPr>
              <w:rPr>
                <w:b/>
                <w:bCs/>
                <w:color w:val="000000"/>
                <w:sz w:val="24"/>
                <w:szCs w:val="24"/>
              </w:rPr>
            </w:pPr>
          </w:p>
        </w:tc>
        <w:tc>
          <w:tcPr>
            <w:tcW w:w="6946" w:type="dxa"/>
            <w:tcBorders>
              <w:top w:val="single" w:sz="4" w:space="0" w:color="auto"/>
              <w:left w:val="nil"/>
              <w:bottom w:val="single" w:sz="4" w:space="0" w:color="auto"/>
              <w:right w:val="single" w:sz="4" w:space="0" w:color="auto"/>
            </w:tcBorders>
            <w:shd w:val="clear" w:color="auto" w:fill="auto"/>
            <w:vAlign w:val="bottom"/>
          </w:tcPr>
          <w:p w:rsidR="00B30D4B" w:rsidRPr="002E7F52" w:rsidRDefault="00B30D4B" w:rsidP="00216774">
            <w:pPr>
              <w:jc w:val="right"/>
              <w:rPr>
                <w:b/>
                <w:bCs/>
                <w:color w:val="000000"/>
                <w:sz w:val="24"/>
                <w:szCs w:val="24"/>
              </w:rPr>
            </w:pPr>
            <w:r w:rsidRPr="002E7F52">
              <w:rPr>
                <w:b/>
                <w:bCs/>
                <w:color w:val="000000"/>
                <w:sz w:val="24"/>
                <w:szCs w:val="24"/>
              </w:rPr>
              <w:t>R’000</w:t>
            </w:r>
          </w:p>
        </w:tc>
      </w:tr>
      <w:tr w:rsidR="00B30D4B" w:rsidRPr="002E7F52" w:rsidTr="00B30D4B">
        <w:trPr>
          <w:trHeight w:val="405"/>
        </w:trPr>
        <w:tc>
          <w:tcPr>
            <w:tcW w:w="2410" w:type="dxa"/>
            <w:tcBorders>
              <w:top w:val="nil"/>
              <w:left w:val="single" w:sz="4" w:space="0" w:color="auto"/>
              <w:bottom w:val="single" w:sz="4" w:space="0" w:color="auto"/>
              <w:right w:val="single" w:sz="4" w:space="0" w:color="auto"/>
            </w:tcBorders>
            <w:shd w:val="clear" w:color="auto" w:fill="E7E6E6"/>
            <w:noWrap/>
            <w:vAlign w:val="bottom"/>
            <w:hideMark/>
          </w:tcPr>
          <w:p w:rsidR="00B30D4B" w:rsidRPr="002E7F52" w:rsidRDefault="00B30D4B" w:rsidP="00216774">
            <w:pPr>
              <w:rPr>
                <w:b/>
                <w:bCs/>
                <w:color w:val="000000"/>
                <w:sz w:val="24"/>
                <w:szCs w:val="24"/>
              </w:rPr>
            </w:pPr>
            <w:r w:rsidRPr="002E7F52">
              <w:rPr>
                <w:b/>
                <w:bCs/>
                <w:color w:val="000000"/>
                <w:sz w:val="24"/>
                <w:szCs w:val="24"/>
              </w:rPr>
              <w:t>TOTAL</w:t>
            </w:r>
          </w:p>
        </w:tc>
        <w:tc>
          <w:tcPr>
            <w:tcW w:w="6946" w:type="dxa"/>
            <w:tcBorders>
              <w:top w:val="nil"/>
              <w:left w:val="nil"/>
              <w:bottom w:val="single" w:sz="4" w:space="0" w:color="auto"/>
              <w:right w:val="single" w:sz="4" w:space="0" w:color="auto"/>
            </w:tcBorders>
            <w:shd w:val="clear" w:color="auto" w:fill="E7E6E6"/>
            <w:vAlign w:val="bottom"/>
            <w:hideMark/>
          </w:tcPr>
          <w:p w:rsidR="00B30D4B" w:rsidRPr="002E7F52" w:rsidRDefault="00B30D4B" w:rsidP="00216774">
            <w:pPr>
              <w:jc w:val="right"/>
              <w:rPr>
                <w:b/>
                <w:bCs/>
                <w:color w:val="000000"/>
                <w:sz w:val="24"/>
                <w:szCs w:val="24"/>
              </w:rPr>
            </w:pPr>
            <w:r w:rsidRPr="002E7F52">
              <w:rPr>
                <w:b/>
                <w:bCs/>
                <w:color w:val="000000"/>
                <w:sz w:val="24"/>
                <w:szCs w:val="24"/>
              </w:rPr>
              <w:t xml:space="preserve">       529 631.83 </w:t>
            </w:r>
          </w:p>
        </w:tc>
      </w:tr>
    </w:tbl>
    <w:p w:rsidR="00BC4EF3" w:rsidRDefault="00BC4EF3" w:rsidP="00BC4EF3">
      <w:pPr>
        <w:spacing w:line="360" w:lineRule="auto"/>
        <w:jc w:val="both"/>
        <w:rPr>
          <w:sz w:val="24"/>
          <w:szCs w:val="24"/>
          <w:lang w:val="en-ZA"/>
        </w:rPr>
      </w:pPr>
    </w:p>
    <w:tbl>
      <w:tblPr>
        <w:tblW w:w="9497" w:type="dxa"/>
        <w:tblInd w:w="817" w:type="dxa"/>
        <w:tblLook w:val="04A0"/>
      </w:tblPr>
      <w:tblGrid>
        <w:gridCol w:w="9497"/>
      </w:tblGrid>
      <w:tr w:rsidR="00B30D4B" w:rsidRPr="002E7F52" w:rsidTr="00B30D4B">
        <w:trPr>
          <w:trHeight w:val="363"/>
        </w:trPr>
        <w:tc>
          <w:tcPr>
            <w:tcW w:w="9497" w:type="dxa"/>
          </w:tcPr>
          <w:p w:rsidR="00B30D4B" w:rsidRPr="002E7F52" w:rsidRDefault="00B30D4B" w:rsidP="00170077">
            <w:pPr>
              <w:jc w:val="both"/>
              <w:rPr>
                <w:color w:val="000000"/>
                <w:sz w:val="24"/>
                <w:szCs w:val="24"/>
              </w:rPr>
            </w:pPr>
            <w:r>
              <w:rPr>
                <w:sz w:val="24"/>
                <w:szCs w:val="24"/>
                <w:lang w:val="en-ZA"/>
              </w:rPr>
              <w:t>(iii)</w:t>
            </w:r>
            <w:r>
              <w:rPr>
                <w:sz w:val="24"/>
                <w:szCs w:val="24"/>
                <w:lang w:val="en-ZA"/>
              </w:rPr>
              <w:tab/>
              <w:t xml:space="preserve">Limpopo advised that one </w:t>
            </w:r>
            <w:r w:rsidRPr="002E7F52">
              <w:rPr>
                <w:sz w:val="24"/>
                <w:szCs w:val="24"/>
              </w:rPr>
              <w:t>invoice was returned</w:t>
            </w:r>
            <w:r w:rsidRPr="002E7F52">
              <w:rPr>
                <w:sz w:val="24"/>
                <w:szCs w:val="24"/>
                <w:lang w:val="en-ZA"/>
              </w:rPr>
              <w:t xml:space="preserve"> on the 19/04/2017 because of a negative amount on the budget line item</w:t>
            </w:r>
            <w:r>
              <w:rPr>
                <w:sz w:val="24"/>
                <w:szCs w:val="24"/>
                <w:lang w:val="en-ZA"/>
              </w:rPr>
              <w:t xml:space="preserve"> and the other two were </w:t>
            </w:r>
            <w:r w:rsidR="002A1D29">
              <w:rPr>
                <w:sz w:val="24"/>
                <w:szCs w:val="24"/>
                <w:lang w:val="en-ZA"/>
              </w:rPr>
              <w:t>returned</w:t>
            </w:r>
            <w:r>
              <w:rPr>
                <w:sz w:val="24"/>
                <w:szCs w:val="24"/>
                <w:lang w:val="en-ZA"/>
              </w:rPr>
              <w:t xml:space="preserve"> to the end-user as a result of a court order</w:t>
            </w:r>
            <w:r w:rsidR="002A1D29">
              <w:rPr>
                <w:sz w:val="24"/>
                <w:szCs w:val="24"/>
                <w:lang w:val="en-ZA"/>
              </w:rPr>
              <w:t>.</w:t>
            </w:r>
          </w:p>
        </w:tc>
      </w:tr>
      <w:tr w:rsidR="00B30D4B" w:rsidRPr="002E7F52" w:rsidTr="00B30D4B">
        <w:trPr>
          <w:trHeight w:val="337"/>
        </w:trPr>
        <w:tc>
          <w:tcPr>
            <w:tcW w:w="9497" w:type="dxa"/>
          </w:tcPr>
          <w:p w:rsidR="00B30D4B" w:rsidRPr="002E7F52" w:rsidRDefault="00B30D4B" w:rsidP="00341111">
            <w:pPr>
              <w:rPr>
                <w:color w:val="000000"/>
                <w:sz w:val="24"/>
                <w:szCs w:val="24"/>
              </w:rPr>
            </w:pPr>
          </w:p>
        </w:tc>
      </w:tr>
      <w:tr w:rsidR="00B30D4B" w:rsidRPr="002E7F52" w:rsidTr="00B30D4B">
        <w:trPr>
          <w:trHeight w:val="287"/>
        </w:trPr>
        <w:tc>
          <w:tcPr>
            <w:tcW w:w="9497" w:type="dxa"/>
          </w:tcPr>
          <w:p w:rsidR="00B30D4B" w:rsidRPr="002E7F52" w:rsidRDefault="00B30D4B" w:rsidP="00341111">
            <w:pPr>
              <w:rPr>
                <w:color w:val="000000"/>
                <w:sz w:val="24"/>
                <w:szCs w:val="24"/>
              </w:rPr>
            </w:pPr>
          </w:p>
        </w:tc>
      </w:tr>
    </w:tbl>
    <w:p w:rsidR="00BC4EF3" w:rsidRDefault="00BC4EF3" w:rsidP="00BE5346">
      <w:pPr>
        <w:pStyle w:val="ListParagraph"/>
        <w:spacing w:line="360" w:lineRule="auto"/>
        <w:ind w:left="1080" w:hanging="371"/>
        <w:jc w:val="both"/>
        <w:rPr>
          <w:sz w:val="24"/>
          <w:szCs w:val="24"/>
          <w:lang w:val="en-ZA"/>
        </w:rPr>
      </w:pPr>
      <w:r w:rsidRPr="002E7F52">
        <w:rPr>
          <w:sz w:val="24"/>
          <w:szCs w:val="24"/>
          <w:lang w:val="en-ZA"/>
        </w:rPr>
        <w:t xml:space="preserve"> (b)(iv)</w:t>
      </w:r>
      <w:r w:rsidR="00BE5346">
        <w:rPr>
          <w:sz w:val="24"/>
          <w:szCs w:val="24"/>
          <w:lang w:val="en-ZA"/>
        </w:rPr>
        <w:t xml:space="preserve"> </w:t>
      </w:r>
      <w:r w:rsidRPr="002E7F52">
        <w:rPr>
          <w:sz w:val="24"/>
          <w:szCs w:val="24"/>
          <w:lang w:val="en-ZA"/>
        </w:rPr>
        <w:t xml:space="preserve"> N</w:t>
      </w:r>
      <w:r w:rsidR="00BE5346">
        <w:rPr>
          <w:sz w:val="24"/>
          <w:szCs w:val="24"/>
          <w:lang w:val="en-ZA"/>
        </w:rPr>
        <w:t xml:space="preserve">ot specified. </w:t>
      </w:r>
    </w:p>
    <w:p w:rsidR="002A1D29" w:rsidRDefault="002A1D29" w:rsidP="002A1D29">
      <w:r>
        <w:rPr>
          <w:color w:val="1F497D"/>
        </w:rPr>
        <w:t> </w:t>
      </w:r>
    </w:p>
    <w:p w:rsidR="007A6615" w:rsidRDefault="007A6615" w:rsidP="00BC4EF3">
      <w:pPr>
        <w:spacing w:line="360" w:lineRule="auto"/>
        <w:ind w:left="720"/>
        <w:jc w:val="both"/>
        <w:rPr>
          <w:b/>
          <w:sz w:val="24"/>
          <w:szCs w:val="24"/>
          <w:lang w:val="en-ZA"/>
        </w:rPr>
      </w:pPr>
    </w:p>
    <w:p w:rsidR="00BC4EF3" w:rsidRPr="002E7F52" w:rsidRDefault="00BC4EF3" w:rsidP="00BC4EF3">
      <w:pPr>
        <w:spacing w:line="360" w:lineRule="auto"/>
        <w:ind w:left="720"/>
        <w:jc w:val="both"/>
        <w:rPr>
          <w:b/>
          <w:sz w:val="24"/>
          <w:szCs w:val="24"/>
          <w:lang w:val="en-ZA"/>
        </w:rPr>
      </w:pPr>
      <w:r w:rsidRPr="002E7F52">
        <w:rPr>
          <w:b/>
          <w:sz w:val="24"/>
          <w:szCs w:val="24"/>
          <w:lang w:val="en-ZA"/>
        </w:rPr>
        <w:t>Mpumalanga Province</w:t>
      </w:r>
    </w:p>
    <w:p w:rsidR="00BC4EF3" w:rsidRPr="002E7F52" w:rsidRDefault="00BC4EF3" w:rsidP="00BC4EF3">
      <w:pPr>
        <w:spacing w:line="360" w:lineRule="auto"/>
        <w:ind w:left="720"/>
        <w:jc w:val="both"/>
        <w:rPr>
          <w:b/>
          <w:sz w:val="24"/>
          <w:szCs w:val="24"/>
          <w:lang w:val="en-ZA"/>
        </w:rPr>
      </w:pPr>
    </w:p>
    <w:p w:rsidR="00BC4EF3" w:rsidRPr="002E7F52" w:rsidRDefault="00BC4EF3" w:rsidP="00216774">
      <w:pPr>
        <w:pStyle w:val="ListParagraph"/>
        <w:numPr>
          <w:ilvl w:val="0"/>
          <w:numId w:val="3"/>
        </w:numPr>
        <w:spacing w:line="360" w:lineRule="auto"/>
        <w:contextualSpacing/>
        <w:jc w:val="both"/>
        <w:rPr>
          <w:sz w:val="24"/>
          <w:szCs w:val="24"/>
          <w:lang w:val="en-ZA"/>
        </w:rPr>
      </w:pPr>
      <w:r w:rsidRPr="002E7F52">
        <w:rPr>
          <w:sz w:val="24"/>
          <w:szCs w:val="24"/>
          <w:lang w:val="en-ZA"/>
        </w:rPr>
        <w:t>7 invoices remain unpaid by the Mpumalanga province</w:t>
      </w:r>
    </w:p>
    <w:p w:rsidR="00BC4EF3" w:rsidRPr="005A48E4" w:rsidRDefault="00BC4EF3" w:rsidP="00936B5A">
      <w:pPr>
        <w:pStyle w:val="ListParagraph"/>
        <w:numPr>
          <w:ilvl w:val="0"/>
          <w:numId w:val="3"/>
        </w:numPr>
        <w:spacing w:line="360" w:lineRule="auto"/>
        <w:contextualSpacing/>
        <w:jc w:val="both"/>
        <w:rPr>
          <w:sz w:val="24"/>
          <w:szCs w:val="24"/>
          <w:lang w:val="en-ZA"/>
        </w:rPr>
      </w:pPr>
      <w:r w:rsidRPr="005A48E4">
        <w:rPr>
          <w:sz w:val="24"/>
          <w:szCs w:val="24"/>
          <w:lang w:val="en-ZA"/>
        </w:rPr>
        <w:t>(ii) and (iii) The amounts outstanding and reasons for non-payments are included in the table below</w:t>
      </w:r>
      <w:r w:rsidR="00BE5346" w:rsidRPr="005A48E4">
        <w:rPr>
          <w:sz w:val="24"/>
          <w:szCs w:val="24"/>
          <w:lang w:val="en-ZA"/>
        </w:rPr>
        <w:t>:</w:t>
      </w:r>
    </w:p>
    <w:tbl>
      <w:tblPr>
        <w:tblW w:w="9356" w:type="dxa"/>
        <w:tblInd w:w="817" w:type="dxa"/>
        <w:tblLayout w:type="fixed"/>
        <w:tblLook w:val="04A0"/>
      </w:tblPr>
      <w:tblGrid>
        <w:gridCol w:w="5387"/>
        <w:gridCol w:w="3969"/>
      </w:tblGrid>
      <w:tr w:rsidR="00456F81" w:rsidRPr="00FC13E9" w:rsidTr="00456F81">
        <w:trPr>
          <w:trHeight w:val="300"/>
          <w:tblHeader/>
        </w:trPr>
        <w:tc>
          <w:tcPr>
            <w:tcW w:w="538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456F81" w:rsidRPr="00FC13E9" w:rsidRDefault="00456F81" w:rsidP="00FC13E9">
            <w:pPr>
              <w:rPr>
                <w:b/>
                <w:sz w:val="24"/>
                <w:szCs w:val="24"/>
              </w:rPr>
            </w:pPr>
            <w:r w:rsidRPr="00FC13E9">
              <w:rPr>
                <w:b/>
                <w:sz w:val="24"/>
                <w:szCs w:val="24"/>
              </w:rPr>
              <w:t>(b)(i) SUPPLIER</w:t>
            </w:r>
          </w:p>
        </w:tc>
        <w:tc>
          <w:tcPr>
            <w:tcW w:w="3969" w:type="dxa"/>
            <w:tcBorders>
              <w:top w:val="single" w:sz="8" w:space="0" w:color="000000"/>
              <w:left w:val="nil"/>
              <w:bottom w:val="single" w:sz="8" w:space="0" w:color="000000"/>
              <w:right w:val="single" w:sz="8" w:space="0" w:color="000000"/>
            </w:tcBorders>
            <w:shd w:val="clear" w:color="auto" w:fill="D9D9D9"/>
            <w:vAlign w:val="center"/>
            <w:hideMark/>
          </w:tcPr>
          <w:p w:rsidR="00456F81" w:rsidRPr="00FC13E9" w:rsidRDefault="00456F81" w:rsidP="00FC13E9">
            <w:pPr>
              <w:rPr>
                <w:b/>
                <w:sz w:val="24"/>
                <w:szCs w:val="24"/>
              </w:rPr>
            </w:pPr>
            <w:r w:rsidRPr="00FC13E9">
              <w:rPr>
                <w:b/>
                <w:sz w:val="24"/>
                <w:szCs w:val="24"/>
              </w:rPr>
              <w:t>(ii) AMOUNTS OUTSTANDING</w:t>
            </w:r>
          </w:p>
        </w:tc>
      </w:tr>
      <w:tr w:rsidR="00456F81" w:rsidRPr="00FC13E9" w:rsidTr="00456F81">
        <w:trPr>
          <w:trHeight w:val="300"/>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6F81" w:rsidRPr="00FC13E9" w:rsidRDefault="00456F81" w:rsidP="00FC13E9">
            <w:pPr>
              <w:rPr>
                <w:sz w:val="24"/>
                <w:szCs w:val="24"/>
              </w:rPr>
            </w:pPr>
          </w:p>
        </w:tc>
        <w:tc>
          <w:tcPr>
            <w:tcW w:w="3969" w:type="dxa"/>
            <w:tcBorders>
              <w:top w:val="single" w:sz="8" w:space="0" w:color="000000"/>
              <w:left w:val="nil"/>
              <w:bottom w:val="single" w:sz="8" w:space="0" w:color="000000"/>
              <w:right w:val="single" w:sz="8" w:space="0" w:color="000000"/>
            </w:tcBorders>
            <w:shd w:val="clear" w:color="auto" w:fill="auto"/>
            <w:vAlign w:val="center"/>
          </w:tcPr>
          <w:p w:rsidR="00456F81" w:rsidRPr="00FC13E9" w:rsidRDefault="00456F81" w:rsidP="00FC13E9">
            <w:pPr>
              <w:rPr>
                <w:sz w:val="24"/>
                <w:szCs w:val="24"/>
              </w:rPr>
            </w:pPr>
            <w:r w:rsidRPr="00FC13E9">
              <w:rPr>
                <w:sz w:val="24"/>
                <w:szCs w:val="24"/>
              </w:rPr>
              <w:t>R’000</w:t>
            </w:r>
          </w:p>
        </w:tc>
      </w:tr>
      <w:tr w:rsidR="00456F81" w:rsidRPr="00FC13E9" w:rsidTr="00456F81">
        <w:trPr>
          <w:trHeight w:val="315"/>
        </w:trPr>
        <w:tc>
          <w:tcPr>
            <w:tcW w:w="5387" w:type="dxa"/>
            <w:tcBorders>
              <w:top w:val="nil"/>
              <w:left w:val="single" w:sz="8" w:space="0" w:color="000000"/>
              <w:bottom w:val="single" w:sz="8" w:space="0" w:color="000000"/>
              <w:right w:val="single" w:sz="8" w:space="0" w:color="000000"/>
            </w:tcBorders>
            <w:shd w:val="clear" w:color="auto" w:fill="E7E6E6"/>
            <w:noWrap/>
            <w:vAlign w:val="bottom"/>
            <w:hideMark/>
          </w:tcPr>
          <w:p w:rsidR="00456F81" w:rsidRPr="00FC13E9" w:rsidRDefault="00456F81" w:rsidP="00FC13E9">
            <w:pPr>
              <w:rPr>
                <w:sz w:val="24"/>
                <w:szCs w:val="24"/>
              </w:rPr>
            </w:pPr>
            <w:r w:rsidRPr="00FC13E9">
              <w:rPr>
                <w:sz w:val="24"/>
                <w:szCs w:val="24"/>
              </w:rPr>
              <w:t>TOTAL</w:t>
            </w:r>
          </w:p>
        </w:tc>
        <w:tc>
          <w:tcPr>
            <w:tcW w:w="3969" w:type="dxa"/>
            <w:tcBorders>
              <w:top w:val="nil"/>
              <w:left w:val="nil"/>
              <w:bottom w:val="single" w:sz="8" w:space="0" w:color="000000"/>
              <w:right w:val="single" w:sz="8" w:space="0" w:color="000000"/>
            </w:tcBorders>
            <w:shd w:val="clear" w:color="auto" w:fill="E7E6E6"/>
            <w:noWrap/>
            <w:vAlign w:val="center"/>
            <w:hideMark/>
          </w:tcPr>
          <w:p w:rsidR="00456F81" w:rsidRPr="00FC13E9" w:rsidRDefault="00456F81" w:rsidP="00FC13E9">
            <w:pPr>
              <w:rPr>
                <w:sz w:val="24"/>
                <w:szCs w:val="24"/>
              </w:rPr>
            </w:pPr>
            <w:r w:rsidRPr="00FC13E9">
              <w:rPr>
                <w:sz w:val="24"/>
                <w:szCs w:val="24"/>
              </w:rPr>
              <w:t>4 499 193.00</w:t>
            </w:r>
          </w:p>
        </w:tc>
      </w:tr>
    </w:tbl>
    <w:p w:rsidR="00BC4EF3" w:rsidRPr="00FC13E9" w:rsidRDefault="00BC4EF3" w:rsidP="00BC4EF3">
      <w:pPr>
        <w:pStyle w:val="ListParagraph"/>
        <w:spacing w:line="360" w:lineRule="auto"/>
        <w:ind w:left="1080"/>
        <w:jc w:val="both"/>
        <w:rPr>
          <w:b/>
          <w:sz w:val="24"/>
          <w:szCs w:val="24"/>
          <w:lang w:val="en-ZA"/>
        </w:rPr>
      </w:pPr>
    </w:p>
    <w:tbl>
      <w:tblPr>
        <w:tblW w:w="9497" w:type="dxa"/>
        <w:tblInd w:w="817" w:type="dxa"/>
        <w:tblLayout w:type="fixed"/>
        <w:tblLook w:val="04A0"/>
      </w:tblPr>
      <w:tblGrid>
        <w:gridCol w:w="9497"/>
      </w:tblGrid>
      <w:tr w:rsidR="00B30D4B" w:rsidRPr="00FC13E9" w:rsidTr="00B30D4B">
        <w:trPr>
          <w:trHeight w:val="1455"/>
        </w:trPr>
        <w:tc>
          <w:tcPr>
            <w:tcW w:w="9497" w:type="dxa"/>
            <w:shd w:val="clear" w:color="auto" w:fill="auto"/>
            <w:vAlign w:val="center"/>
            <w:hideMark/>
          </w:tcPr>
          <w:p w:rsidR="00B30D4B" w:rsidRDefault="00B30D4B" w:rsidP="00341111">
            <w:pPr>
              <w:rPr>
                <w:b/>
                <w:sz w:val="24"/>
                <w:szCs w:val="24"/>
                <w:lang w:val="en-ZA"/>
              </w:rPr>
            </w:pPr>
            <w:r w:rsidRPr="00456F81">
              <w:rPr>
                <w:sz w:val="24"/>
                <w:szCs w:val="24"/>
                <w:lang w:val="en-ZA"/>
              </w:rPr>
              <w:t>(iii)</w:t>
            </w:r>
            <w:r>
              <w:rPr>
                <w:b/>
                <w:sz w:val="24"/>
                <w:szCs w:val="24"/>
                <w:lang w:val="en-ZA"/>
              </w:rPr>
              <w:tab/>
            </w:r>
            <w:r w:rsidRPr="00B30D4B">
              <w:rPr>
                <w:sz w:val="24"/>
                <w:szCs w:val="24"/>
                <w:lang w:val="en-ZA"/>
              </w:rPr>
              <w:t>Mpumal</w:t>
            </w:r>
            <w:r w:rsidR="00456F81">
              <w:rPr>
                <w:sz w:val="24"/>
                <w:szCs w:val="24"/>
                <w:lang w:val="en-ZA"/>
              </w:rPr>
              <w:t>a</w:t>
            </w:r>
            <w:r w:rsidRPr="00B30D4B">
              <w:rPr>
                <w:sz w:val="24"/>
                <w:szCs w:val="24"/>
                <w:lang w:val="en-ZA"/>
              </w:rPr>
              <w:t xml:space="preserve">nga  </w:t>
            </w:r>
            <w:r>
              <w:rPr>
                <w:sz w:val="24"/>
                <w:szCs w:val="24"/>
                <w:lang w:val="en-ZA"/>
              </w:rPr>
              <w:t>reasons for non-payment within 30 days include:</w:t>
            </w:r>
          </w:p>
          <w:p w:rsidR="00B30D4B" w:rsidRDefault="00B30D4B" w:rsidP="00341111">
            <w:pPr>
              <w:rPr>
                <w:b/>
                <w:sz w:val="24"/>
                <w:szCs w:val="24"/>
                <w:lang w:val="en-ZA"/>
              </w:rPr>
            </w:pPr>
          </w:p>
          <w:p w:rsidR="00B30D4B" w:rsidRDefault="00B30D4B" w:rsidP="00E132FB">
            <w:pPr>
              <w:numPr>
                <w:ilvl w:val="0"/>
                <w:numId w:val="9"/>
              </w:numPr>
              <w:jc w:val="both"/>
              <w:rPr>
                <w:sz w:val="24"/>
                <w:szCs w:val="24"/>
              </w:rPr>
            </w:pPr>
            <w:r w:rsidRPr="00FC13E9">
              <w:rPr>
                <w:sz w:val="24"/>
                <w:szCs w:val="24"/>
              </w:rPr>
              <w:t xml:space="preserve">Delay by the contractor in registering with CSD. CSD finalized on 19/05/2017 by the contractor and </w:t>
            </w:r>
            <w:r w:rsidR="007A6615">
              <w:rPr>
                <w:sz w:val="24"/>
                <w:szCs w:val="24"/>
              </w:rPr>
              <w:t xml:space="preserve">the </w:t>
            </w:r>
            <w:r w:rsidRPr="00FC13E9">
              <w:rPr>
                <w:sz w:val="24"/>
                <w:szCs w:val="24"/>
              </w:rPr>
              <w:t xml:space="preserve">account </w:t>
            </w:r>
            <w:r w:rsidR="007A6615">
              <w:rPr>
                <w:sz w:val="24"/>
                <w:szCs w:val="24"/>
              </w:rPr>
              <w:t xml:space="preserve">will now be </w:t>
            </w:r>
            <w:r w:rsidRPr="00FC13E9">
              <w:rPr>
                <w:sz w:val="24"/>
                <w:szCs w:val="24"/>
              </w:rPr>
              <w:t xml:space="preserve">linked with Logis. A call was logged with Provincial Treasury </w:t>
            </w:r>
            <w:r w:rsidR="007A6615">
              <w:rPr>
                <w:sz w:val="24"/>
                <w:szCs w:val="24"/>
              </w:rPr>
              <w:t>in this regard</w:t>
            </w:r>
            <w:r w:rsidR="00456F81">
              <w:rPr>
                <w:sz w:val="24"/>
                <w:szCs w:val="24"/>
              </w:rPr>
              <w:t>;</w:t>
            </w:r>
          </w:p>
          <w:p w:rsidR="00456F81" w:rsidRDefault="00456F81" w:rsidP="00456F81">
            <w:pPr>
              <w:ind w:left="720"/>
              <w:rPr>
                <w:sz w:val="24"/>
                <w:szCs w:val="24"/>
              </w:rPr>
            </w:pPr>
          </w:p>
          <w:p w:rsidR="00456F81" w:rsidRPr="00E132FB" w:rsidRDefault="00E132FB" w:rsidP="00390897">
            <w:pPr>
              <w:numPr>
                <w:ilvl w:val="0"/>
                <w:numId w:val="9"/>
              </w:numPr>
              <w:jc w:val="both"/>
              <w:rPr>
                <w:sz w:val="24"/>
                <w:szCs w:val="24"/>
              </w:rPr>
            </w:pPr>
            <w:r w:rsidRPr="00E132FB">
              <w:rPr>
                <w:sz w:val="24"/>
                <w:szCs w:val="24"/>
              </w:rPr>
              <w:t xml:space="preserve">The </w:t>
            </w:r>
            <w:r w:rsidR="00B30D4B" w:rsidRPr="00E132FB">
              <w:rPr>
                <w:sz w:val="24"/>
                <w:szCs w:val="24"/>
              </w:rPr>
              <w:t>Bank account details submitted to the Department d</w:t>
            </w:r>
            <w:r w:rsidRPr="00E132FB">
              <w:rPr>
                <w:sz w:val="24"/>
                <w:szCs w:val="24"/>
              </w:rPr>
              <w:t xml:space="preserve">id not agree with CSD. </w:t>
            </w:r>
          </w:p>
          <w:p w:rsidR="00456F81" w:rsidRDefault="00456F81" w:rsidP="00456F81">
            <w:pPr>
              <w:rPr>
                <w:sz w:val="24"/>
                <w:szCs w:val="24"/>
              </w:rPr>
            </w:pPr>
          </w:p>
          <w:p w:rsidR="00456F81" w:rsidRDefault="00456F81" w:rsidP="00456F81">
            <w:pPr>
              <w:rPr>
                <w:sz w:val="24"/>
                <w:szCs w:val="24"/>
              </w:rPr>
            </w:pPr>
            <w:r>
              <w:rPr>
                <w:sz w:val="24"/>
                <w:szCs w:val="24"/>
              </w:rPr>
              <w:t>(iv) T</w:t>
            </w:r>
            <w:r w:rsidRPr="00FC13E9">
              <w:rPr>
                <w:sz w:val="24"/>
                <w:szCs w:val="24"/>
              </w:rPr>
              <w:t>he invoice</w:t>
            </w:r>
            <w:r>
              <w:rPr>
                <w:sz w:val="24"/>
                <w:szCs w:val="24"/>
              </w:rPr>
              <w:t>s</w:t>
            </w:r>
            <w:r w:rsidRPr="00FC13E9">
              <w:rPr>
                <w:sz w:val="24"/>
                <w:szCs w:val="24"/>
              </w:rPr>
              <w:t xml:space="preserve"> will be paid when </w:t>
            </w:r>
            <w:r w:rsidR="00E132FB">
              <w:rPr>
                <w:sz w:val="24"/>
                <w:szCs w:val="24"/>
              </w:rPr>
              <w:t>all outstanding issues have been resolved.</w:t>
            </w:r>
            <w:r w:rsidRPr="00FC13E9">
              <w:rPr>
                <w:sz w:val="24"/>
                <w:szCs w:val="24"/>
              </w:rPr>
              <w:t xml:space="preserve"> </w:t>
            </w:r>
          </w:p>
          <w:p w:rsidR="00456F81" w:rsidRDefault="00456F81" w:rsidP="00456F81">
            <w:pPr>
              <w:rPr>
                <w:sz w:val="24"/>
                <w:szCs w:val="24"/>
              </w:rPr>
            </w:pPr>
          </w:p>
          <w:p w:rsidR="00456F81" w:rsidRPr="00FC13E9" w:rsidRDefault="00456F81" w:rsidP="007A6615">
            <w:pPr>
              <w:rPr>
                <w:sz w:val="24"/>
                <w:szCs w:val="24"/>
              </w:rPr>
            </w:pPr>
          </w:p>
        </w:tc>
      </w:tr>
    </w:tbl>
    <w:p w:rsidR="00BC4EF3" w:rsidRPr="002E7F52" w:rsidRDefault="00BC4EF3" w:rsidP="00BC4EF3">
      <w:pPr>
        <w:spacing w:line="360" w:lineRule="auto"/>
        <w:ind w:left="720"/>
        <w:jc w:val="both"/>
        <w:rPr>
          <w:b/>
          <w:sz w:val="24"/>
          <w:szCs w:val="24"/>
          <w:lang w:val="en-ZA"/>
        </w:rPr>
      </w:pPr>
      <w:r w:rsidRPr="002E7F52">
        <w:rPr>
          <w:b/>
          <w:sz w:val="24"/>
          <w:szCs w:val="24"/>
          <w:lang w:val="en-ZA"/>
        </w:rPr>
        <w:t>Northern Cape</w:t>
      </w:r>
    </w:p>
    <w:p w:rsidR="00BC4EF3" w:rsidRPr="002E7F52" w:rsidRDefault="00BC4EF3" w:rsidP="00216774">
      <w:pPr>
        <w:pStyle w:val="ListParagraph"/>
        <w:numPr>
          <w:ilvl w:val="0"/>
          <w:numId w:val="1"/>
        </w:numPr>
        <w:spacing w:line="360" w:lineRule="auto"/>
        <w:contextualSpacing/>
        <w:jc w:val="both"/>
        <w:rPr>
          <w:sz w:val="24"/>
          <w:szCs w:val="24"/>
          <w:lang w:val="en-ZA"/>
        </w:rPr>
      </w:pPr>
      <w:r w:rsidRPr="002E7F52">
        <w:rPr>
          <w:sz w:val="24"/>
          <w:szCs w:val="24"/>
          <w:lang w:val="en-ZA"/>
        </w:rPr>
        <w:t>The province did not have any invoices that were unpaid for more than 30 days.</w:t>
      </w:r>
    </w:p>
    <w:p w:rsidR="00BC4EF3" w:rsidRPr="002E7F52" w:rsidRDefault="00BC4EF3" w:rsidP="00BC4EF3">
      <w:pPr>
        <w:spacing w:line="360" w:lineRule="auto"/>
        <w:jc w:val="both"/>
        <w:rPr>
          <w:sz w:val="24"/>
          <w:szCs w:val="24"/>
          <w:lang w:val="en-ZA"/>
        </w:rPr>
      </w:pPr>
    </w:p>
    <w:p w:rsidR="00BC4EF3" w:rsidRPr="002E7F52" w:rsidRDefault="00BC4EF3" w:rsidP="00BC4EF3">
      <w:pPr>
        <w:spacing w:line="360" w:lineRule="auto"/>
        <w:jc w:val="both"/>
        <w:rPr>
          <w:b/>
          <w:sz w:val="24"/>
          <w:szCs w:val="24"/>
          <w:lang w:val="en-ZA"/>
        </w:rPr>
      </w:pPr>
      <w:r w:rsidRPr="002E7F52">
        <w:rPr>
          <w:sz w:val="24"/>
          <w:szCs w:val="24"/>
          <w:lang w:val="en-ZA"/>
        </w:rPr>
        <w:tab/>
      </w:r>
      <w:r w:rsidRPr="002E7F52">
        <w:rPr>
          <w:b/>
          <w:sz w:val="24"/>
          <w:szCs w:val="24"/>
          <w:lang w:val="en-ZA"/>
        </w:rPr>
        <w:t xml:space="preserve">North West </w:t>
      </w:r>
    </w:p>
    <w:p w:rsidR="00BC4EF3" w:rsidRPr="002E7F52" w:rsidRDefault="00BC4EF3" w:rsidP="00216774">
      <w:pPr>
        <w:pStyle w:val="ListParagraph"/>
        <w:numPr>
          <w:ilvl w:val="0"/>
          <w:numId w:val="8"/>
        </w:numPr>
        <w:spacing w:line="360" w:lineRule="auto"/>
        <w:contextualSpacing/>
        <w:jc w:val="both"/>
        <w:rPr>
          <w:sz w:val="24"/>
          <w:szCs w:val="24"/>
          <w:lang w:val="en-ZA"/>
        </w:rPr>
      </w:pPr>
      <w:r w:rsidRPr="002E7F52">
        <w:rPr>
          <w:sz w:val="24"/>
          <w:szCs w:val="24"/>
          <w:lang w:val="en-ZA"/>
        </w:rPr>
        <w:t>50 invoices remain unpaid by the North west province</w:t>
      </w:r>
    </w:p>
    <w:p w:rsidR="00BC4EF3" w:rsidRPr="002E7F52" w:rsidRDefault="00BC4EF3" w:rsidP="00216774">
      <w:pPr>
        <w:pStyle w:val="ListParagraph"/>
        <w:numPr>
          <w:ilvl w:val="0"/>
          <w:numId w:val="8"/>
        </w:numPr>
        <w:spacing w:line="360" w:lineRule="auto"/>
        <w:contextualSpacing/>
        <w:jc w:val="both"/>
        <w:rPr>
          <w:sz w:val="24"/>
          <w:szCs w:val="24"/>
          <w:lang w:val="en-ZA"/>
        </w:rPr>
      </w:pPr>
      <w:r w:rsidRPr="002E7F52">
        <w:rPr>
          <w:sz w:val="24"/>
          <w:szCs w:val="24"/>
          <w:lang w:val="en-ZA"/>
        </w:rPr>
        <w:t>(ii) The amounts outstanding</w:t>
      </w:r>
      <w:r w:rsidR="00BE5346">
        <w:rPr>
          <w:sz w:val="24"/>
          <w:szCs w:val="24"/>
          <w:lang w:val="en-ZA"/>
        </w:rPr>
        <w:t xml:space="preserve"> are indicated below:</w:t>
      </w:r>
      <w:r w:rsidRPr="002E7F52">
        <w:rPr>
          <w:sz w:val="24"/>
          <w:szCs w:val="24"/>
          <w:lang w:val="en-ZA"/>
        </w:rPr>
        <w:t xml:space="preserve"> </w:t>
      </w:r>
    </w:p>
    <w:p w:rsidR="00BC4EF3" w:rsidRPr="002E7F52" w:rsidRDefault="00BC4EF3" w:rsidP="00BC4EF3">
      <w:pPr>
        <w:spacing w:line="360" w:lineRule="auto"/>
        <w:jc w:val="both"/>
        <w:rPr>
          <w:sz w:val="24"/>
          <w:szCs w:val="24"/>
          <w:lang w:val="en-ZA"/>
        </w:rPr>
      </w:pPr>
    </w:p>
    <w:tbl>
      <w:tblPr>
        <w:tblW w:w="9214" w:type="dxa"/>
        <w:tblInd w:w="817" w:type="dxa"/>
        <w:tblLook w:val="04A0"/>
      </w:tblPr>
      <w:tblGrid>
        <w:gridCol w:w="4253"/>
        <w:gridCol w:w="4961"/>
      </w:tblGrid>
      <w:tr w:rsidR="00BC4EF3" w:rsidRPr="002E7F52" w:rsidTr="00BE5346">
        <w:trPr>
          <w:trHeight w:val="300"/>
          <w:tblHeader/>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C4EF3" w:rsidRPr="002E7F52" w:rsidRDefault="00BC4EF3" w:rsidP="00216774">
            <w:pPr>
              <w:jc w:val="center"/>
              <w:rPr>
                <w:b/>
                <w:bCs/>
                <w:color w:val="000000"/>
                <w:sz w:val="24"/>
                <w:szCs w:val="24"/>
              </w:rPr>
            </w:pPr>
            <w:r w:rsidRPr="002E7F52">
              <w:rPr>
                <w:b/>
                <w:bCs/>
                <w:color w:val="000000"/>
                <w:sz w:val="24"/>
                <w:szCs w:val="24"/>
              </w:rPr>
              <w:t>(b)(i) SUPPLIER</w:t>
            </w:r>
          </w:p>
        </w:tc>
        <w:tc>
          <w:tcPr>
            <w:tcW w:w="4961" w:type="dxa"/>
            <w:tcBorders>
              <w:top w:val="single" w:sz="4" w:space="0" w:color="auto"/>
              <w:left w:val="nil"/>
              <w:bottom w:val="single" w:sz="4" w:space="0" w:color="auto"/>
              <w:right w:val="single" w:sz="4" w:space="0" w:color="auto"/>
            </w:tcBorders>
            <w:shd w:val="clear" w:color="auto" w:fill="D9D9D9"/>
            <w:noWrap/>
            <w:vAlign w:val="bottom"/>
            <w:hideMark/>
          </w:tcPr>
          <w:p w:rsidR="00BC4EF3" w:rsidRPr="002E7F52" w:rsidRDefault="00BC4EF3" w:rsidP="00216774">
            <w:pPr>
              <w:jc w:val="center"/>
              <w:rPr>
                <w:b/>
                <w:bCs/>
                <w:sz w:val="24"/>
                <w:szCs w:val="24"/>
              </w:rPr>
            </w:pPr>
            <w:r w:rsidRPr="002E7F52">
              <w:rPr>
                <w:b/>
                <w:bCs/>
                <w:color w:val="000000"/>
                <w:sz w:val="24"/>
                <w:szCs w:val="24"/>
              </w:rPr>
              <w:t>(ii) AMOUNTS OUTSTANDING</w:t>
            </w:r>
          </w:p>
        </w:tc>
      </w:tr>
      <w:tr w:rsidR="00BC4EF3" w:rsidRPr="002E7F52" w:rsidTr="002E7F52">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EF3" w:rsidRPr="002E7F52" w:rsidRDefault="00BC4EF3" w:rsidP="00216774">
            <w:pPr>
              <w:rPr>
                <w:b/>
                <w:bCs/>
                <w:color w:val="000000"/>
                <w:sz w:val="24"/>
                <w:szCs w:val="24"/>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BC4EF3" w:rsidRPr="002E7F52" w:rsidRDefault="00BC4EF3" w:rsidP="00216774">
            <w:pPr>
              <w:jc w:val="right"/>
              <w:rPr>
                <w:b/>
                <w:bCs/>
                <w:color w:val="000000"/>
                <w:sz w:val="24"/>
                <w:szCs w:val="24"/>
              </w:rPr>
            </w:pPr>
            <w:r w:rsidRPr="002E7F52">
              <w:rPr>
                <w:b/>
                <w:bCs/>
                <w:color w:val="000000"/>
                <w:sz w:val="24"/>
                <w:szCs w:val="24"/>
              </w:rPr>
              <w:t>R’000</w:t>
            </w:r>
          </w:p>
        </w:tc>
      </w:tr>
      <w:tr w:rsidR="00BC4EF3" w:rsidRPr="002E7F52" w:rsidTr="00BE5346">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E7E6E6"/>
            <w:noWrap/>
            <w:vAlign w:val="bottom"/>
          </w:tcPr>
          <w:p w:rsidR="00BC4EF3" w:rsidRPr="002E7F52" w:rsidRDefault="00BC4EF3" w:rsidP="00216774">
            <w:pPr>
              <w:rPr>
                <w:b/>
                <w:color w:val="000000"/>
                <w:sz w:val="24"/>
                <w:szCs w:val="24"/>
              </w:rPr>
            </w:pPr>
            <w:r w:rsidRPr="002E7F52">
              <w:rPr>
                <w:b/>
                <w:color w:val="000000"/>
                <w:sz w:val="24"/>
                <w:szCs w:val="24"/>
              </w:rPr>
              <w:t>TOTAL</w:t>
            </w:r>
          </w:p>
        </w:tc>
        <w:tc>
          <w:tcPr>
            <w:tcW w:w="4961" w:type="dxa"/>
            <w:tcBorders>
              <w:top w:val="single" w:sz="4" w:space="0" w:color="auto"/>
              <w:left w:val="single" w:sz="4" w:space="0" w:color="auto"/>
              <w:bottom w:val="single" w:sz="4" w:space="0" w:color="auto"/>
              <w:right w:val="single" w:sz="4" w:space="0" w:color="auto"/>
            </w:tcBorders>
            <w:shd w:val="clear" w:color="auto" w:fill="E7E6E6"/>
            <w:noWrap/>
            <w:vAlign w:val="bottom"/>
          </w:tcPr>
          <w:p w:rsidR="00BC4EF3" w:rsidRPr="002E7F52" w:rsidRDefault="00BC4EF3" w:rsidP="00216774">
            <w:pPr>
              <w:jc w:val="right"/>
              <w:rPr>
                <w:sz w:val="24"/>
                <w:szCs w:val="24"/>
              </w:rPr>
            </w:pPr>
            <w:r w:rsidRPr="002E7F52">
              <w:rPr>
                <w:b/>
                <w:sz w:val="24"/>
                <w:szCs w:val="24"/>
              </w:rPr>
              <w:t>5 756 280.05</w:t>
            </w:r>
          </w:p>
        </w:tc>
      </w:tr>
    </w:tbl>
    <w:p w:rsidR="00BC4EF3" w:rsidRPr="002E7F52" w:rsidRDefault="00BC4EF3" w:rsidP="00BC4EF3">
      <w:pPr>
        <w:spacing w:line="360" w:lineRule="auto"/>
        <w:ind w:firstLine="720"/>
        <w:jc w:val="both"/>
        <w:rPr>
          <w:b/>
          <w:sz w:val="24"/>
          <w:szCs w:val="24"/>
          <w:lang w:val="en-ZA"/>
        </w:rPr>
      </w:pPr>
    </w:p>
    <w:p w:rsidR="00BC4EF3" w:rsidRPr="002E7F52" w:rsidRDefault="00BC4EF3" w:rsidP="00BC4EF3">
      <w:pPr>
        <w:spacing w:line="360" w:lineRule="auto"/>
        <w:ind w:left="720"/>
        <w:jc w:val="both"/>
        <w:rPr>
          <w:sz w:val="24"/>
          <w:szCs w:val="24"/>
          <w:lang w:val="en-ZA"/>
        </w:rPr>
      </w:pPr>
      <w:r w:rsidRPr="002E7F52">
        <w:rPr>
          <w:sz w:val="24"/>
          <w:szCs w:val="24"/>
          <w:lang w:val="en-ZA"/>
        </w:rPr>
        <w:t xml:space="preserve">(b)(iii) The Province reported the reason for non-payment as being the error in capturing of invoices which reflected as unpaid instead of being </w:t>
      </w:r>
      <w:r w:rsidR="00F00EDC">
        <w:rPr>
          <w:sz w:val="24"/>
          <w:szCs w:val="24"/>
          <w:lang w:val="en-ZA"/>
        </w:rPr>
        <w:t>updated on the system</w:t>
      </w:r>
      <w:r w:rsidRPr="002E7F52">
        <w:rPr>
          <w:sz w:val="24"/>
          <w:szCs w:val="24"/>
          <w:lang w:val="en-ZA"/>
        </w:rPr>
        <w:t xml:space="preserve"> as they were paid</w:t>
      </w:r>
      <w:r w:rsidR="00F00EDC">
        <w:rPr>
          <w:sz w:val="24"/>
          <w:szCs w:val="24"/>
          <w:lang w:val="en-ZA"/>
        </w:rPr>
        <w:t>.</w:t>
      </w:r>
    </w:p>
    <w:p w:rsidR="00BC4EF3" w:rsidRPr="002E7F52" w:rsidRDefault="00BC4EF3" w:rsidP="00BC4EF3">
      <w:pPr>
        <w:spacing w:line="360" w:lineRule="auto"/>
        <w:ind w:firstLine="720"/>
        <w:jc w:val="both"/>
        <w:rPr>
          <w:b/>
          <w:sz w:val="24"/>
          <w:szCs w:val="24"/>
          <w:lang w:val="en-ZA"/>
        </w:rPr>
      </w:pPr>
    </w:p>
    <w:p w:rsidR="00BC4EF3" w:rsidRPr="002E7F52" w:rsidRDefault="00BC4EF3" w:rsidP="00BC4EF3">
      <w:pPr>
        <w:spacing w:line="360" w:lineRule="auto"/>
        <w:ind w:firstLine="720"/>
        <w:jc w:val="both"/>
        <w:rPr>
          <w:b/>
          <w:sz w:val="24"/>
          <w:szCs w:val="24"/>
          <w:lang w:val="en-ZA"/>
        </w:rPr>
      </w:pPr>
      <w:r w:rsidRPr="002E7F52">
        <w:rPr>
          <w:b/>
          <w:sz w:val="24"/>
          <w:szCs w:val="24"/>
          <w:lang w:val="en-ZA"/>
        </w:rPr>
        <w:t>Western Cape</w:t>
      </w:r>
    </w:p>
    <w:p w:rsidR="00BC4EF3" w:rsidRPr="00BE5346" w:rsidRDefault="00BC4EF3" w:rsidP="00936B5A">
      <w:pPr>
        <w:pStyle w:val="ListParagraph"/>
        <w:numPr>
          <w:ilvl w:val="0"/>
          <w:numId w:val="1"/>
        </w:numPr>
        <w:spacing w:line="360" w:lineRule="auto"/>
        <w:contextualSpacing/>
        <w:jc w:val="both"/>
        <w:rPr>
          <w:sz w:val="24"/>
          <w:szCs w:val="24"/>
          <w:lang w:val="en-ZA"/>
        </w:rPr>
      </w:pPr>
      <w:r w:rsidRPr="00BE5346">
        <w:rPr>
          <w:sz w:val="24"/>
          <w:szCs w:val="24"/>
          <w:lang w:val="en-ZA"/>
        </w:rPr>
        <w:t>The Province did not have any invoices that were unpaid for more than 30 days.</w:t>
      </w:r>
    </w:p>
    <w:p w:rsidR="00FB3F7D" w:rsidRDefault="00FB3F7D" w:rsidP="00F00EDC">
      <w:pPr>
        <w:pStyle w:val="ListParagraph"/>
        <w:spacing w:line="360" w:lineRule="auto"/>
        <w:ind w:left="1080"/>
        <w:contextualSpacing/>
        <w:jc w:val="both"/>
        <w:rPr>
          <w:sz w:val="24"/>
          <w:szCs w:val="24"/>
          <w:lang w:val="en-ZA"/>
        </w:rPr>
      </w:pPr>
    </w:p>
    <w:p w:rsidR="002A1D29" w:rsidRDefault="002A1D29" w:rsidP="00F00EDC">
      <w:pPr>
        <w:pStyle w:val="ListParagraph"/>
        <w:spacing w:line="360" w:lineRule="auto"/>
        <w:ind w:left="1080"/>
        <w:contextualSpacing/>
        <w:jc w:val="both"/>
        <w:rPr>
          <w:sz w:val="24"/>
          <w:szCs w:val="24"/>
          <w:lang w:val="en-ZA"/>
        </w:rPr>
      </w:pPr>
    </w:p>
    <w:p w:rsidR="002A1D29" w:rsidRDefault="002A1D29" w:rsidP="00F00EDC">
      <w:pPr>
        <w:pStyle w:val="ListParagraph"/>
        <w:spacing w:line="360" w:lineRule="auto"/>
        <w:ind w:left="1080"/>
        <w:contextualSpacing/>
        <w:jc w:val="both"/>
        <w:rPr>
          <w:sz w:val="24"/>
          <w:szCs w:val="24"/>
          <w:lang w:val="en-ZA"/>
        </w:rPr>
      </w:pPr>
    </w:p>
    <w:p w:rsidR="002A1D29" w:rsidRDefault="002A1D29" w:rsidP="00F00EDC">
      <w:pPr>
        <w:pStyle w:val="ListParagraph"/>
        <w:spacing w:line="360" w:lineRule="auto"/>
        <w:ind w:left="1080"/>
        <w:contextualSpacing/>
        <w:jc w:val="both"/>
        <w:rPr>
          <w:sz w:val="24"/>
          <w:szCs w:val="24"/>
          <w:lang w:val="en-ZA"/>
        </w:rPr>
      </w:pPr>
    </w:p>
    <w:p w:rsidR="002A1D29" w:rsidRDefault="002A1D29" w:rsidP="002A1D29">
      <w:r>
        <w:rPr>
          <w:color w:val="1F497D"/>
        </w:rPr>
        <w:t> </w:t>
      </w:r>
    </w:p>
    <w:p w:rsidR="002A1D29" w:rsidRDefault="002A1D29" w:rsidP="002A1D29">
      <w:r>
        <w:rPr>
          <w:color w:val="1F497D"/>
        </w:rPr>
        <w:t> </w:t>
      </w:r>
    </w:p>
    <w:p w:rsidR="002A1D29" w:rsidRPr="00BE5346" w:rsidRDefault="002A1D29" w:rsidP="00F00EDC">
      <w:pPr>
        <w:pStyle w:val="ListParagraph"/>
        <w:spacing w:line="360" w:lineRule="auto"/>
        <w:ind w:left="1080"/>
        <w:contextualSpacing/>
        <w:jc w:val="both"/>
        <w:rPr>
          <w:sz w:val="24"/>
          <w:szCs w:val="24"/>
          <w:lang w:val="en-ZA"/>
        </w:rPr>
      </w:pPr>
    </w:p>
    <w:sectPr w:rsidR="002A1D29" w:rsidRPr="00BE5346" w:rsidSect="002E7F52">
      <w:headerReference w:type="default" r:id="rId9"/>
      <w:footerReference w:type="default" r:id="rId10"/>
      <w:pgSz w:w="12240" w:h="15840"/>
      <w:pgMar w:top="1418"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A6" w:rsidRDefault="00B426A6" w:rsidP="00054FEC">
      <w:r>
        <w:separator/>
      </w:r>
    </w:p>
  </w:endnote>
  <w:endnote w:type="continuationSeparator" w:id="0">
    <w:p w:rsidR="00B426A6" w:rsidRDefault="00B426A6"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46" w:rsidRDefault="00BE5346">
    <w:pPr>
      <w:pStyle w:val="Footer"/>
      <w:jc w:val="right"/>
    </w:pPr>
    <w:fldSimple w:instr=" PAGE   \* MERGEFORMAT ">
      <w:r w:rsidR="00B426A6">
        <w:rPr>
          <w:noProof/>
        </w:rPr>
        <w:t>1</w:t>
      </w:r>
    </w:fldSimple>
  </w:p>
  <w:p w:rsidR="00BE5346" w:rsidRDefault="00BE5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A6" w:rsidRDefault="00B426A6" w:rsidP="00054FEC">
      <w:r>
        <w:separator/>
      </w:r>
    </w:p>
  </w:footnote>
  <w:footnote w:type="continuationSeparator" w:id="0">
    <w:p w:rsidR="00B426A6" w:rsidRDefault="00B426A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545BA0">
      <w:t>1314</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A1D"/>
    <w:multiLevelType w:val="hybridMultilevel"/>
    <w:tmpl w:val="1710256A"/>
    <w:lvl w:ilvl="0" w:tplc="15886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F5DB6"/>
    <w:multiLevelType w:val="hybridMultilevel"/>
    <w:tmpl w:val="CB44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F29E5"/>
    <w:multiLevelType w:val="hybridMultilevel"/>
    <w:tmpl w:val="544AFD24"/>
    <w:lvl w:ilvl="0" w:tplc="E40653E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50A03A8"/>
    <w:multiLevelType w:val="hybridMultilevel"/>
    <w:tmpl w:val="543AC6FC"/>
    <w:lvl w:ilvl="0" w:tplc="20CA5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4376B8"/>
    <w:multiLevelType w:val="hybridMultilevel"/>
    <w:tmpl w:val="0FF227C0"/>
    <w:lvl w:ilvl="0" w:tplc="0FEC2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B47973"/>
    <w:multiLevelType w:val="hybridMultilevel"/>
    <w:tmpl w:val="E2AA2C90"/>
    <w:lvl w:ilvl="0" w:tplc="35F451B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2685C8D"/>
    <w:multiLevelType w:val="hybridMultilevel"/>
    <w:tmpl w:val="4118924E"/>
    <w:lvl w:ilvl="0" w:tplc="40A0A75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2E207D5"/>
    <w:multiLevelType w:val="hybridMultilevel"/>
    <w:tmpl w:val="B24CB3A2"/>
    <w:lvl w:ilvl="0" w:tplc="21A07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F84458"/>
    <w:multiLevelType w:val="hybridMultilevel"/>
    <w:tmpl w:val="C2C6C40C"/>
    <w:lvl w:ilvl="0" w:tplc="67220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3"/>
  </w:num>
  <w:num w:numId="5">
    <w:abstractNumId w:val="8"/>
  </w:num>
  <w:num w:numId="6">
    <w:abstractNumId w:val="5"/>
  </w:num>
  <w:num w:numId="7">
    <w:abstractNumId w:val="6"/>
  </w:num>
  <w:num w:numId="8">
    <w:abstractNumId w:val="2"/>
  </w:num>
  <w:num w:numId="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2F5E"/>
    <w:rsid w:val="00042C5B"/>
    <w:rsid w:val="000542DB"/>
    <w:rsid w:val="00054FEC"/>
    <w:rsid w:val="0005651C"/>
    <w:rsid w:val="000576F1"/>
    <w:rsid w:val="00061B5C"/>
    <w:rsid w:val="00062096"/>
    <w:rsid w:val="00084A46"/>
    <w:rsid w:val="00085A2A"/>
    <w:rsid w:val="000874C5"/>
    <w:rsid w:val="000B2098"/>
    <w:rsid w:val="000B4AC5"/>
    <w:rsid w:val="000C37CD"/>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0077"/>
    <w:rsid w:val="00183267"/>
    <w:rsid w:val="00185C4D"/>
    <w:rsid w:val="00185C4E"/>
    <w:rsid w:val="0019692B"/>
    <w:rsid w:val="001A1C58"/>
    <w:rsid w:val="001A37B9"/>
    <w:rsid w:val="001B46D4"/>
    <w:rsid w:val="001C51E0"/>
    <w:rsid w:val="001D6619"/>
    <w:rsid w:val="001E587F"/>
    <w:rsid w:val="001E77A7"/>
    <w:rsid w:val="001F17FC"/>
    <w:rsid w:val="001F31E6"/>
    <w:rsid w:val="00203262"/>
    <w:rsid w:val="00211743"/>
    <w:rsid w:val="00216774"/>
    <w:rsid w:val="002216A4"/>
    <w:rsid w:val="00221ABD"/>
    <w:rsid w:val="00221CAF"/>
    <w:rsid w:val="0023124F"/>
    <w:rsid w:val="00244322"/>
    <w:rsid w:val="00245CEE"/>
    <w:rsid w:val="002565C1"/>
    <w:rsid w:val="00257C83"/>
    <w:rsid w:val="00273F15"/>
    <w:rsid w:val="002901FA"/>
    <w:rsid w:val="002922CE"/>
    <w:rsid w:val="002962EB"/>
    <w:rsid w:val="0029651C"/>
    <w:rsid w:val="00297F06"/>
    <w:rsid w:val="002A1D29"/>
    <w:rsid w:val="002E39B0"/>
    <w:rsid w:val="002E7F52"/>
    <w:rsid w:val="002F729C"/>
    <w:rsid w:val="003225B0"/>
    <w:rsid w:val="00323C61"/>
    <w:rsid w:val="00326ADE"/>
    <w:rsid w:val="00332EDA"/>
    <w:rsid w:val="00333798"/>
    <w:rsid w:val="00341111"/>
    <w:rsid w:val="00360151"/>
    <w:rsid w:val="003639EF"/>
    <w:rsid w:val="003658A1"/>
    <w:rsid w:val="003749A8"/>
    <w:rsid w:val="00386EBC"/>
    <w:rsid w:val="00390897"/>
    <w:rsid w:val="00391B22"/>
    <w:rsid w:val="00397799"/>
    <w:rsid w:val="003A0C97"/>
    <w:rsid w:val="003A48E1"/>
    <w:rsid w:val="003B7EF6"/>
    <w:rsid w:val="003F3D4B"/>
    <w:rsid w:val="003F40BD"/>
    <w:rsid w:val="003F4CED"/>
    <w:rsid w:val="003F5497"/>
    <w:rsid w:val="00400487"/>
    <w:rsid w:val="00411FA8"/>
    <w:rsid w:val="00413C30"/>
    <w:rsid w:val="004171D3"/>
    <w:rsid w:val="00421190"/>
    <w:rsid w:val="00421215"/>
    <w:rsid w:val="00430FBB"/>
    <w:rsid w:val="00435C33"/>
    <w:rsid w:val="00437973"/>
    <w:rsid w:val="00442C28"/>
    <w:rsid w:val="00442F09"/>
    <w:rsid w:val="0044337F"/>
    <w:rsid w:val="0044715C"/>
    <w:rsid w:val="0045012C"/>
    <w:rsid w:val="00453E58"/>
    <w:rsid w:val="00456F81"/>
    <w:rsid w:val="00457E66"/>
    <w:rsid w:val="00461532"/>
    <w:rsid w:val="004622F2"/>
    <w:rsid w:val="00466A67"/>
    <w:rsid w:val="00472722"/>
    <w:rsid w:val="00481F38"/>
    <w:rsid w:val="004A27DE"/>
    <w:rsid w:val="004A7396"/>
    <w:rsid w:val="004B54E9"/>
    <w:rsid w:val="004C34F2"/>
    <w:rsid w:val="004E1009"/>
    <w:rsid w:val="004F5117"/>
    <w:rsid w:val="005010DF"/>
    <w:rsid w:val="00506A53"/>
    <w:rsid w:val="00511D74"/>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8155B"/>
    <w:rsid w:val="00585030"/>
    <w:rsid w:val="0059567A"/>
    <w:rsid w:val="005A0373"/>
    <w:rsid w:val="005A09D3"/>
    <w:rsid w:val="005A257C"/>
    <w:rsid w:val="005A3561"/>
    <w:rsid w:val="005A48E4"/>
    <w:rsid w:val="005B2811"/>
    <w:rsid w:val="005B5D50"/>
    <w:rsid w:val="005B77A4"/>
    <w:rsid w:val="005C71CA"/>
    <w:rsid w:val="005D1F3D"/>
    <w:rsid w:val="005D69D1"/>
    <w:rsid w:val="005E69AF"/>
    <w:rsid w:val="005F3206"/>
    <w:rsid w:val="005F4728"/>
    <w:rsid w:val="00600BD5"/>
    <w:rsid w:val="0061173D"/>
    <w:rsid w:val="00614C11"/>
    <w:rsid w:val="00622769"/>
    <w:rsid w:val="006315F4"/>
    <w:rsid w:val="00634815"/>
    <w:rsid w:val="00636C07"/>
    <w:rsid w:val="00643247"/>
    <w:rsid w:val="0064604A"/>
    <w:rsid w:val="00650769"/>
    <w:rsid w:val="0065307F"/>
    <w:rsid w:val="006559CC"/>
    <w:rsid w:val="00657215"/>
    <w:rsid w:val="00657FAD"/>
    <w:rsid w:val="0066568F"/>
    <w:rsid w:val="006862AD"/>
    <w:rsid w:val="006932BB"/>
    <w:rsid w:val="00696206"/>
    <w:rsid w:val="006A29F5"/>
    <w:rsid w:val="006A3A9B"/>
    <w:rsid w:val="006A50C0"/>
    <w:rsid w:val="006B057C"/>
    <w:rsid w:val="006B1158"/>
    <w:rsid w:val="006C4112"/>
    <w:rsid w:val="006C7F54"/>
    <w:rsid w:val="006D1097"/>
    <w:rsid w:val="006D2C99"/>
    <w:rsid w:val="006D4535"/>
    <w:rsid w:val="006D564E"/>
    <w:rsid w:val="006D638D"/>
    <w:rsid w:val="006D7794"/>
    <w:rsid w:val="006F111A"/>
    <w:rsid w:val="006F35CD"/>
    <w:rsid w:val="006F4B1B"/>
    <w:rsid w:val="006F64F8"/>
    <w:rsid w:val="00704183"/>
    <w:rsid w:val="00704691"/>
    <w:rsid w:val="00722FEC"/>
    <w:rsid w:val="007241DD"/>
    <w:rsid w:val="00731E1C"/>
    <w:rsid w:val="00740E7D"/>
    <w:rsid w:val="00743C1B"/>
    <w:rsid w:val="00744892"/>
    <w:rsid w:val="007468D2"/>
    <w:rsid w:val="0075051F"/>
    <w:rsid w:val="00751A45"/>
    <w:rsid w:val="00755D11"/>
    <w:rsid w:val="00762CB4"/>
    <w:rsid w:val="00766475"/>
    <w:rsid w:val="00766CE9"/>
    <w:rsid w:val="00772336"/>
    <w:rsid w:val="00773002"/>
    <w:rsid w:val="00784F64"/>
    <w:rsid w:val="0078533E"/>
    <w:rsid w:val="007879C0"/>
    <w:rsid w:val="007A6615"/>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6D26"/>
    <w:rsid w:val="008279FC"/>
    <w:rsid w:val="00845006"/>
    <w:rsid w:val="00852F18"/>
    <w:rsid w:val="008575F4"/>
    <w:rsid w:val="00857E10"/>
    <w:rsid w:val="008709EB"/>
    <w:rsid w:val="0087209D"/>
    <w:rsid w:val="00873BDC"/>
    <w:rsid w:val="00874EAB"/>
    <w:rsid w:val="008773D7"/>
    <w:rsid w:val="00895D3F"/>
    <w:rsid w:val="008B0E18"/>
    <w:rsid w:val="008B2848"/>
    <w:rsid w:val="008C22C2"/>
    <w:rsid w:val="008D4969"/>
    <w:rsid w:val="008D5F8E"/>
    <w:rsid w:val="008E39AE"/>
    <w:rsid w:val="008E4498"/>
    <w:rsid w:val="008E593B"/>
    <w:rsid w:val="008F3F23"/>
    <w:rsid w:val="008F3FE5"/>
    <w:rsid w:val="008F4456"/>
    <w:rsid w:val="00904841"/>
    <w:rsid w:val="00907BDD"/>
    <w:rsid w:val="00916792"/>
    <w:rsid w:val="00917CDC"/>
    <w:rsid w:val="00927BDA"/>
    <w:rsid w:val="009306E0"/>
    <w:rsid w:val="00933DC0"/>
    <w:rsid w:val="009358D8"/>
    <w:rsid w:val="00936B5A"/>
    <w:rsid w:val="009407DD"/>
    <w:rsid w:val="00945E78"/>
    <w:rsid w:val="00954371"/>
    <w:rsid w:val="00954574"/>
    <w:rsid w:val="00972777"/>
    <w:rsid w:val="00974D24"/>
    <w:rsid w:val="00984A0C"/>
    <w:rsid w:val="00984BF1"/>
    <w:rsid w:val="00991B77"/>
    <w:rsid w:val="009924B5"/>
    <w:rsid w:val="009B6B68"/>
    <w:rsid w:val="009C04C3"/>
    <w:rsid w:val="009C6091"/>
    <w:rsid w:val="009D5DC1"/>
    <w:rsid w:val="009E4722"/>
    <w:rsid w:val="009E5B0A"/>
    <w:rsid w:val="009F104A"/>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41AB"/>
    <w:rsid w:val="00AE5063"/>
    <w:rsid w:val="00AE6436"/>
    <w:rsid w:val="00AF266B"/>
    <w:rsid w:val="00B11A62"/>
    <w:rsid w:val="00B165B3"/>
    <w:rsid w:val="00B165F7"/>
    <w:rsid w:val="00B17FB7"/>
    <w:rsid w:val="00B253A0"/>
    <w:rsid w:val="00B301A9"/>
    <w:rsid w:val="00B30D4B"/>
    <w:rsid w:val="00B3353C"/>
    <w:rsid w:val="00B346B6"/>
    <w:rsid w:val="00B35035"/>
    <w:rsid w:val="00B41BED"/>
    <w:rsid w:val="00B426A6"/>
    <w:rsid w:val="00B43005"/>
    <w:rsid w:val="00B55E3F"/>
    <w:rsid w:val="00B57E32"/>
    <w:rsid w:val="00B653F5"/>
    <w:rsid w:val="00B72DD5"/>
    <w:rsid w:val="00B86677"/>
    <w:rsid w:val="00B969FE"/>
    <w:rsid w:val="00BA1CD4"/>
    <w:rsid w:val="00BA1D02"/>
    <w:rsid w:val="00BB13D8"/>
    <w:rsid w:val="00BC2B00"/>
    <w:rsid w:val="00BC4EF3"/>
    <w:rsid w:val="00BD39FB"/>
    <w:rsid w:val="00BE2758"/>
    <w:rsid w:val="00BE35AA"/>
    <w:rsid w:val="00BE5346"/>
    <w:rsid w:val="00BF3EE7"/>
    <w:rsid w:val="00BF78F1"/>
    <w:rsid w:val="00C0359C"/>
    <w:rsid w:val="00C103F1"/>
    <w:rsid w:val="00C21B68"/>
    <w:rsid w:val="00C24092"/>
    <w:rsid w:val="00C26F5E"/>
    <w:rsid w:val="00C339A4"/>
    <w:rsid w:val="00C34739"/>
    <w:rsid w:val="00C34FD1"/>
    <w:rsid w:val="00C373B4"/>
    <w:rsid w:val="00C42767"/>
    <w:rsid w:val="00C45207"/>
    <w:rsid w:val="00C527FC"/>
    <w:rsid w:val="00C52AA3"/>
    <w:rsid w:val="00C576FE"/>
    <w:rsid w:val="00C57AC2"/>
    <w:rsid w:val="00C74E11"/>
    <w:rsid w:val="00C86DA8"/>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6FA4"/>
    <w:rsid w:val="00D849FF"/>
    <w:rsid w:val="00D91F9D"/>
    <w:rsid w:val="00DA0BDC"/>
    <w:rsid w:val="00DB59D7"/>
    <w:rsid w:val="00DB75E0"/>
    <w:rsid w:val="00DC28F1"/>
    <w:rsid w:val="00DC2F4C"/>
    <w:rsid w:val="00DD7501"/>
    <w:rsid w:val="00DE6494"/>
    <w:rsid w:val="00DF0F08"/>
    <w:rsid w:val="00DF24A7"/>
    <w:rsid w:val="00DF79D0"/>
    <w:rsid w:val="00E06306"/>
    <w:rsid w:val="00E132FB"/>
    <w:rsid w:val="00E13A36"/>
    <w:rsid w:val="00E154EB"/>
    <w:rsid w:val="00E17DD6"/>
    <w:rsid w:val="00E2469A"/>
    <w:rsid w:val="00E32382"/>
    <w:rsid w:val="00E40506"/>
    <w:rsid w:val="00E40762"/>
    <w:rsid w:val="00E65C78"/>
    <w:rsid w:val="00E65E8A"/>
    <w:rsid w:val="00E67E28"/>
    <w:rsid w:val="00E76256"/>
    <w:rsid w:val="00E843C3"/>
    <w:rsid w:val="00E84932"/>
    <w:rsid w:val="00E916B8"/>
    <w:rsid w:val="00E971FE"/>
    <w:rsid w:val="00EB6AA1"/>
    <w:rsid w:val="00EC171E"/>
    <w:rsid w:val="00EC1A90"/>
    <w:rsid w:val="00EC5D81"/>
    <w:rsid w:val="00ED344E"/>
    <w:rsid w:val="00EE300B"/>
    <w:rsid w:val="00EE37B5"/>
    <w:rsid w:val="00EE5A15"/>
    <w:rsid w:val="00EF7055"/>
    <w:rsid w:val="00F000D2"/>
    <w:rsid w:val="00F00EDC"/>
    <w:rsid w:val="00F17697"/>
    <w:rsid w:val="00F3479A"/>
    <w:rsid w:val="00F363E4"/>
    <w:rsid w:val="00F3695E"/>
    <w:rsid w:val="00F374AD"/>
    <w:rsid w:val="00F41641"/>
    <w:rsid w:val="00F51113"/>
    <w:rsid w:val="00F513BB"/>
    <w:rsid w:val="00F60C74"/>
    <w:rsid w:val="00F61C46"/>
    <w:rsid w:val="00F61D4C"/>
    <w:rsid w:val="00F7086C"/>
    <w:rsid w:val="00F93680"/>
    <w:rsid w:val="00FA0083"/>
    <w:rsid w:val="00FA12D4"/>
    <w:rsid w:val="00FA14B9"/>
    <w:rsid w:val="00FA759C"/>
    <w:rsid w:val="00FB0AF3"/>
    <w:rsid w:val="00FB3F7D"/>
    <w:rsid w:val="00FC13E9"/>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uiPriority w:val="99"/>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link w:val="BodyTextIndentChar"/>
    <w:pPr>
      <w:ind w:left="2160" w:hanging="720"/>
    </w:pPr>
    <w:rPr>
      <w:rFonts w:ascii="Arial" w:hAnsi="Arial"/>
      <w:b/>
      <w:bCs/>
      <w:sz w:val="24"/>
      <w:szCs w:val="24"/>
      <w:lang/>
    </w:rPr>
  </w:style>
  <w:style w:type="paragraph" w:styleId="BodyTextIndent2">
    <w:name w:val="Body Text Indent 2"/>
    <w:basedOn w:val="Normal"/>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CharCharCharCharCharChar">
    <w:name w:val="Char Char Char Char Char Char"/>
    <w:basedOn w:val="Normal"/>
    <w:semiHidden/>
    <w:rsid w:val="00BC4EF3"/>
    <w:pPr>
      <w:spacing w:after="240" w:line="24" w:lineRule="atLeast"/>
      <w:jc w:val="both"/>
    </w:pPr>
    <w:rPr>
      <w:rFonts w:ascii="Arial" w:hAnsi="Arial"/>
      <w:bCs/>
      <w:sz w:val="22"/>
      <w:szCs w:val="24"/>
    </w:rPr>
  </w:style>
  <w:style w:type="paragraph" w:customStyle="1" w:styleId="CharChar1CharCharCharCharCharCharCharCharCharCharChar0">
    <w:name w:val="Char Char1 Char Char Char Char Char Char Char Char Char Char Char"/>
    <w:basedOn w:val="Normal"/>
    <w:rsid w:val="00BC4EF3"/>
    <w:pPr>
      <w:spacing w:after="160" w:line="240" w:lineRule="exact"/>
    </w:pPr>
    <w:rPr>
      <w:rFonts w:ascii="Verdana" w:hAnsi="Verdana"/>
      <w:lang w:val="en-US"/>
    </w:rPr>
  </w:style>
  <w:style w:type="paragraph" w:customStyle="1" w:styleId="TTI">
    <w:name w:val="TTI"/>
    <w:rsid w:val="00BC4EF3"/>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character" w:customStyle="1" w:styleId="BodyTextIndentChar">
    <w:name w:val="Body Text Indent Char"/>
    <w:link w:val="BodyTextIndent"/>
    <w:rsid w:val="00BC4EF3"/>
    <w:rPr>
      <w:rFonts w:ascii="Arial" w:hAnsi="Arial" w:cs="Arial"/>
      <w:b/>
      <w:bCs/>
      <w:sz w:val="24"/>
      <w:szCs w:val="24"/>
    </w:rPr>
  </w:style>
  <w:style w:type="table" w:customStyle="1" w:styleId="TableGrid1">
    <w:name w:val="Table Grid1"/>
    <w:basedOn w:val="TableNormal"/>
    <w:next w:val="TableGrid"/>
    <w:uiPriority w:val="59"/>
    <w:rsid w:val="00BC4EF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4EF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C4EF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349843725">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2017-07-05T10:13:00Z</dcterms:created>
  <dcterms:modified xsi:type="dcterms:W3CDTF">2017-07-05T10:13:00Z</dcterms:modified>
</cp:coreProperties>
</file>