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FB" w:rsidRPr="00FA23CC" w:rsidRDefault="000702FB" w:rsidP="00FA23CC">
      <w:pPr>
        <w:pStyle w:val="BodyText"/>
        <w:ind w:left="4071"/>
        <w:rPr>
          <w:rFonts w:ascii="Times New Roman"/>
          <w:sz w:val="20"/>
          <w:szCs w:val="20"/>
        </w:rPr>
      </w:pPr>
    </w:p>
    <w:p w:rsidR="000702FB" w:rsidRPr="00FA23CC" w:rsidRDefault="000702FB" w:rsidP="00FA23CC">
      <w:pPr>
        <w:pStyle w:val="BodyText"/>
        <w:spacing w:before="3"/>
        <w:rPr>
          <w:rFonts w:ascii="Times New Roman"/>
          <w:sz w:val="20"/>
          <w:szCs w:val="20"/>
        </w:rPr>
      </w:pPr>
    </w:p>
    <w:p w:rsidR="000702FB" w:rsidRPr="00FA23CC" w:rsidRDefault="00FA23CC" w:rsidP="00FA23CC">
      <w:pPr>
        <w:pStyle w:val="Heading1"/>
        <w:spacing w:before="92"/>
        <w:ind w:right="1337"/>
        <w:jc w:val="center"/>
        <w:rPr>
          <w:sz w:val="20"/>
          <w:szCs w:val="20"/>
        </w:rPr>
      </w:pPr>
      <w:r w:rsidRPr="00FA23CC">
        <w:rPr>
          <w:sz w:val="20"/>
          <w:szCs w:val="20"/>
        </w:rPr>
        <w:t>MINISTRY</w:t>
      </w:r>
    </w:p>
    <w:p w:rsidR="000702FB" w:rsidRPr="00FA23CC" w:rsidRDefault="00FA23CC" w:rsidP="00FA23CC">
      <w:pPr>
        <w:ind w:left="1338" w:right="1342"/>
        <w:jc w:val="center"/>
        <w:rPr>
          <w:b/>
          <w:sz w:val="20"/>
          <w:szCs w:val="20"/>
        </w:rPr>
      </w:pPr>
      <w:r w:rsidRPr="00FA23CC">
        <w:rPr>
          <w:b/>
          <w:sz w:val="20"/>
          <w:szCs w:val="20"/>
        </w:rPr>
        <w:t>COOPERATIVE GOVERNANCE AND TRADITIONAL AFFAIRS REPUBLIC OF SOUTH AFRICA</w:t>
      </w:r>
    </w:p>
    <w:p w:rsidR="000702FB" w:rsidRPr="00FA23CC" w:rsidRDefault="000702FB" w:rsidP="00FA23CC">
      <w:pPr>
        <w:pStyle w:val="BodyText"/>
        <w:spacing w:before="7"/>
        <w:rPr>
          <w:b/>
          <w:sz w:val="20"/>
          <w:szCs w:val="20"/>
        </w:rPr>
      </w:pPr>
      <w:r w:rsidRPr="00FA23CC">
        <w:rPr>
          <w:sz w:val="20"/>
          <w:szCs w:val="20"/>
        </w:rPr>
        <w:pict>
          <v:shape id="_x0000_s1026" style="position:absolute;margin-left:70.6pt;margin-top:15.35pt;width:470.95pt;height:.1pt;z-index:-251658752;mso-wrap-distance-left:0;mso-wrap-distance-right:0;mso-position-horizontal-relative:page" coordorigin="1412,307" coordsize="9419,0" path="m1412,307r9419,e" filled="f" strokeweight=".72pt">
            <v:path arrowok="t"/>
            <w10:wrap type="topAndBottom" anchorx="page"/>
          </v:shape>
        </w:pict>
      </w:r>
    </w:p>
    <w:p w:rsidR="000702FB" w:rsidRPr="00FA23CC" w:rsidRDefault="000702FB" w:rsidP="00FA23CC">
      <w:pPr>
        <w:pStyle w:val="BodyText"/>
        <w:spacing w:before="4"/>
        <w:rPr>
          <w:b/>
          <w:sz w:val="20"/>
          <w:szCs w:val="20"/>
        </w:rPr>
      </w:pPr>
    </w:p>
    <w:p w:rsidR="000702FB" w:rsidRPr="00FA23CC" w:rsidRDefault="00FA23CC" w:rsidP="00FA23CC">
      <w:pPr>
        <w:spacing w:before="92"/>
        <w:ind w:left="2833" w:right="2812" w:firstLine="667"/>
        <w:rPr>
          <w:b/>
          <w:sz w:val="20"/>
          <w:szCs w:val="20"/>
        </w:rPr>
      </w:pPr>
      <w:r w:rsidRPr="00FA23CC">
        <w:rPr>
          <w:b/>
          <w:sz w:val="20"/>
          <w:szCs w:val="20"/>
        </w:rPr>
        <w:t>NATIONAL ASSEMBLY QUESTION FOR WRITTEN REPLY QUESTION NUMBER 1311 OF 2020</w:t>
      </w:r>
    </w:p>
    <w:p w:rsidR="000702FB" w:rsidRPr="00FA23CC" w:rsidRDefault="000702FB" w:rsidP="00FA23CC">
      <w:pPr>
        <w:pStyle w:val="BodyText"/>
        <w:spacing w:before="1"/>
        <w:rPr>
          <w:b/>
          <w:sz w:val="20"/>
          <w:szCs w:val="20"/>
        </w:rPr>
      </w:pPr>
    </w:p>
    <w:p w:rsidR="000702FB" w:rsidRPr="00FA23CC" w:rsidRDefault="00FA23CC" w:rsidP="00FA23CC">
      <w:pPr>
        <w:spacing w:before="1"/>
        <w:ind w:left="1338" w:right="1337"/>
        <w:jc w:val="center"/>
        <w:rPr>
          <w:b/>
          <w:sz w:val="20"/>
          <w:szCs w:val="20"/>
        </w:rPr>
      </w:pPr>
      <w:r w:rsidRPr="00FA23CC">
        <w:rPr>
          <w:b/>
          <w:sz w:val="20"/>
          <w:szCs w:val="20"/>
        </w:rPr>
        <w:t>FRIDAY, 26 JUNE 2020</w:t>
      </w:r>
    </w:p>
    <w:p w:rsidR="000702FB" w:rsidRPr="00FA23CC" w:rsidRDefault="000702FB" w:rsidP="00FA23CC">
      <w:pPr>
        <w:pStyle w:val="BodyText"/>
        <w:spacing w:before="4"/>
        <w:rPr>
          <w:b/>
          <w:sz w:val="20"/>
          <w:szCs w:val="20"/>
        </w:rPr>
      </w:pPr>
    </w:p>
    <w:p w:rsidR="000702FB" w:rsidRPr="00FA23CC" w:rsidRDefault="00FA23CC" w:rsidP="00FA23CC">
      <w:pPr>
        <w:ind w:left="860" w:right="66" w:hanging="720"/>
        <w:rPr>
          <w:b/>
          <w:sz w:val="20"/>
          <w:szCs w:val="20"/>
        </w:rPr>
      </w:pPr>
      <w:r w:rsidRPr="00FA23CC">
        <w:rPr>
          <w:b/>
          <w:sz w:val="20"/>
          <w:szCs w:val="20"/>
        </w:rPr>
        <w:t>1311. Mr I M Groenewald (FF Plus) to ask the Minister of Cooperative Governance and Traditional Affairs.</w:t>
      </w:r>
    </w:p>
    <w:p w:rsidR="000702FB" w:rsidRPr="00FA23CC" w:rsidRDefault="000702FB" w:rsidP="00FA23CC">
      <w:pPr>
        <w:pStyle w:val="BodyText"/>
        <w:spacing w:before="2"/>
        <w:rPr>
          <w:b/>
          <w:sz w:val="20"/>
          <w:szCs w:val="20"/>
        </w:rPr>
      </w:pPr>
    </w:p>
    <w:p w:rsidR="000702FB" w:rsidRPr="00FA23CC" w:rsidRDefault="00FA23CC" w:rsidP="00FA23CC">
      <w:pPr>
        <w:pStyle w:val="ListParagraph"/>
        <w:numPr>
          <w:ilvl w:val="0"/>
          <w:numId w:val="2"/>
        </w:numPr>
        <w:tabs>
          <w:tab w:val="left" w:pos="861"/>
        </w:tabs>
        <w:ind w:right="136"/>
        <w:jc w:val="both"/>
        <w:rPr>
          <w:sz w:val="20"/>
          <w:szCs w:val="20"/>
        </w:rPr>
      </w:pPr>
      <w:r w:rsidRPr="00FA23CC">
        <w:rPr>
          <w:sz w:val="20"/>
          <w:szCs w:val="20"/>
        </w:rPr>
        <w:t>Whether, with reference to the negative economic impact of the Covid-19 pandemic</w:t>
      </w:r>
      <w:r w:rsidRPr="00FA23CC">
        <w:rPr>
          <w:spacing w:val="-14"/>
          <w:sz w:val="20"/>
          <w:szCs w:val="20"/>
        </w:rPr>
        <w:t xml:space="preserve"> </w:t>
      </w:r>
      <w:r w:rsidRPr="00FA23CC">
        <w:rPr>
          <w:sz w:val="20"/>
          <w:szCs w:val="20"/>
        </w:rPr>
        <w:t>on</w:t>
      </w:r>
      <w:r w:rsidRPr="00FA23CC">
        <w:rPr>
          <w:spacing w:val="-12"/>
          <w:sz w:val="20"/>
          <w:szCs w:val="20"/>
        </w:rPr>
        <w:t xml:space="preserve"> </w:t>
      </w:r>
      <w:r w:rsidRPr="00FA23CC">
        <w:rPr>
          <w:sz w:val="20"/>
          <w:szCs w:val="20"/>
        </w:rPr>
        <w:t>communities</w:t>
      </w:r>
      <w:r w:rsidRPr="00FA23CC">
        <w:rPr>
          <w:spacing w:val="-13"/>
          <w:sz w:val="20"/>
          <w:szCs w:val="20"/>
        </w:rPr>
        <w:t xml:space="preserve"> </w:t>
      </w:r>
      <w:r w:rsidRPr="00FA23CC">
        <w:rPr>
          <w:sz w:val="20"/>
          <w:szCs w:val="20"/>
        </w:rPr>
        <w:t>at</w:t>
      </w:r>
      <w:r w:rsidRPr="00FA23CC">
        <w:rPr>
          <w:spacing w:val="-15"/>
          <w:sz w:val="20"/>
          <w:szCs w:val="20"/>
        </w:rPr>
        <w:t xml:space="preserve"> </w:t>
      </w:r>
      <w:r w:rsidRPr="00FA23CC">
        <w:rPr>
          <w:sz w:val="20"/>
          <w:szCs w:val="20"/>
        </w:rPr>
        <w:t>large,</w:t>
      </w:r>
      <w:r w:rsidRPr="00FA23CC">
        <w:rPr>
          <w:spacing w:val="-12"/>
          <w:sz w:val="20"/>
          <w:szCs w:val="20"/>
        </w:rPr>
        <w:t xml:space="preserve"> </w:t>
      </w:r>
      <w:r w:rsidRPr="00FA23CC">
        <w:rPr>
          <w:sz w:val="20"/>
          <w:szCs w:val="20"/>
        </w:rPr>
        <w:t>her</w:t>
      </w:r>
      <w:r w:rsidRPr="00FA23CC">
        <w:rPr>
          <w:spacing w:val="-13"/>
          <w:sz w:val="20"/>
          <w:szCs w:val="20"/>
        </w:rPr>
        <w:t xml:space="preserve"> </w:t>
      </w:r>
      <w:r w:rsidRPr="00FA23CC">
        <w:rPr>
          <w:sz w:val="20"/>
          <w:szCs w:val="20"/>
        </w:rPr>
        <w:t>department</w:t>
      </w:r>
      <w:r w:rsidRPr="00FA23CC">
        <w:rPr>
          <w:spacing w:val="-13"/>
          <w:sz w:val="20"/>
          <w:szCs w:val="20"/>
        </w:rPr>
        <w:t xml:space="preserve"> </w:t>
      </w:r>
      <w:r w:rsidRPr="00FA23CC">
        <w:rPr>
          <w:sz w:val="20"/>
          <w:szCs w:val="20"/>
        </w:rPr>
        <w:t>is</w:t>
      </w:r>
      <w:r w:rsidRPr="00FA23CC">
        <w:rPr>
          <w:spacing w:val="-13"/>
          <w:sz w:val="20"/>
          <w:szCs w:val="20"/>
        </w:rPr>
        <w:t xml:space="preserve"> </w:t>
      </w:r>
      <w:r w:rsidRPr="00FA23CC">
        <w:rPr>
          <w:sz w:val="20"/>
          <w:szCs w:val="20"/>
        </w:rPr>
        <w:t>considering</w:t>
      </w:r>
      <w:r w:rsidRPr="00FA23CC">
        <w:rPr>
          <w:spacing w:val="-14"/>
          <w:sz w:val="20"/>
          <w:szCs w:val="20"/>
        </w:rPr>
        <w:t xml:space="preserve"> </w:t>
      </w:r>
      <w:r w:rsidRPr="00FA23CC">
        <w:rPr>
          <w:sz w:val="20"/>
          <w:szCs w:val="20"/>
        </w:rPr>
        <w:t>to</w:t>
      </w:r>
      <w:r w:rsidRPr="00FA23CC">
        <w:rPr>
          <w:spacing w:val="-11"/>
          <w:sz w:val="20"/>
          <w:szCs w:val="20"/>
        </w:rPr>
        <w:t xml:space="preserve"> </w:t>
      </w:r>
      <w:r w:rsidRPr="00FA23CC">
        <w:rPr>
          <w:sz w:val="20"/>
          <w:szCs w:val="20"/>
        </w:rPr>
        <w:t>(a)</w:t>
      </w:r>
      <w:r w:rsidRPr="00FA23CC">
        <w:rPr>
          <w:spacing w:val="-14"/>
          <w:sz w:val="20"/>
          <w:szCs w:val="20"/>
        </w:rPr>
        <w:t xml:space="preserve"> </w:t>
      </w:r>
      <w:r w:rsidRPr="00FA23CC">
        <w:rPr>
          <w:sz w:val="20"/>
          <w:szCs w:val="20"/>
        </w:rPr>
        <w:t>implem</w:t>
      </w:r>
      <w:r w:rsidRPr="00FA23CC">
        <w:rPr>
          <w:sz w:val="20"/>
          <w:szCs w:val="20"/>
        </w:rPr>
        <w:t>ent measures to assist municipal ratepayers and/or recommending any prescripts for municipalities to this effect, (b) review the salary structures of some</w:t>
      </w:r>
      <w:r w:rsidRPr="00FA23CC">
        <w:rPr>
          <w:spacing w:val="-31"/>
          <w:sz w:val="20"/>
          <w:szCs w:val="20"/>
        </w:rPr>
        <w:t xml:space="preserve"> </w:t>
      </w:r>
      <w:r w:rsidRPr="00FA23CC">
        <w:rPr>
          <w:sz w:val="20"/>
          <w:szCs w:val="20"/>
        </w:rPr>
        <w:t>municipalities with excessively large salary expenditure, (c) abolish superfluous posts and (d) insti</w:t>
      </w:r>
      <w:r w:rsidRPr="00FA23CC">
        <w:rPr>
          <w:sz w:val="20"/>
          <w:szCs w:val="20"/>
        </w:rPr>
        <w:t>tute retrenchment processes where</w:t>
      </w:r>
      <w:r w:rsidRPr="00FA23CC">
        <w:rPr>
          <w:spacing w:val="-9"/>
          <w:sz w:val="20"/>
          <w:szCs w:val="20"/>
        </w:rPr>
        <w:t xml:space="preserve"> </w:t>
      </w:r>
      <w:r w:rsidRPr="00FA23CC">
        <w:rPr>
          <w:sz w:val="20"/>
          <w:szCs w:val="20"/>
        </w:rPr>
        <w:t>necessary;</w:t>
      </w:r>
    </w:p>
    <w:p w:rsidR="000702FB" w:rsidRPr="00FA23CC" w:rsidRDefault="00FA23CC" w:rsidP="00FA23CC">
      <w:pPr>
        <w:pStyle w:val="ListParagraph"/>
        <w:numPr>
          <w:ilvl w:val="0"/>
          <w:numId w:val="2"/>
        </w:numPr>
        <w:tabs>
          <w:tab w:val="left" w:pos="861"/>
        </w:tabs>
        <w:ind w:hanging="721"/>
        <w:jc w:val="both"/>
        <w:rPr>
          <w:sz w:val="20"/>
          <w:szCs w:val="20"/>
        </w:rPr>
      </w:pPr>
      <w:r w:rsidRPr="00FA23CC">
        <w:rPr>
          <w:sz w:val="20"/>
          <w:szCs w:val="20"/>
        </w:rPr>
        <w:t>whether she will make a statement on the</w:t>
      </w:r>
      <w:r w:rsidRPr="00FA23CC">
        <w:rPr>
          <w:spacing w:val="-10"/>
          <w:sz w:val="20"/>
          <w:szCs w:val="20"/>
        </w:rPr>
        <w:t xml:space="preserve"> </w:t>
      </w:r>
      <w:r w:rsidRPr="00FA23CC">
        <w:rPr>
          <w:sz w:val="20"/>
          <w:szCs w:val="20"/>
        </w:rPr>
        <w:t>matter?</w:t>
      </w:r>
    </w:p>
    <w:p w:rsidR="000702FB" w:rsidRPr="00FA23CC" w:rsidRDefault="000702FB" w:rsidP="00FA23CC">
      <w:pPr>
        <w:pStyle w:val="BodyText"/>
        <w:rPr>
          <w:sz w:val="20"/>
          <w:szCs w:val="20"/>
        </w:rPr>
      </w:pPr>
    </w:p>
    <w:p w:rsidR="000702FB" w:rsidRPr="00FA23CC" w:rsidRDefault="000702FB" w:rsidP="00FA23CC">
      <w:pPr>
        <w:pStyle w:val="BodyText"/>
        <w:spacing w:before="1"/>
        <w:rPr>
          <w:sz w:val="20"/>
          <w:szCs w:val="20"/>
        </w:rPr>
      </w:pPr>
    </w:p>
    <w:p w:rsidR="000702FB" w:rsidRPr="00FA23CC" w:rsidRDefault="00FA23CC" w:rsidP="00FA23CC">
      <w:pPr>
        <w:pStyle w:val="Heading1"/>
        <w:ind w:left="140"/>
        <w:rPr>
          <w:sz w:val="20"/>
          <w:szCs w:val="20"/>
        </w:rPr>
      </w:pPr>
      <w:r w:rsidRPr="00FA23CC">
        <w:rPr>
          <w:sz w:val="20"/>
          <w:szCs w:val="20"/>
        </w:rPr>
        <w:t>REPLY:</w:t>
      </w:r>
    </w:p>
    <w:p w:rsidR="000702FB" w:rsidRPr="00FA23CC" w:rsidRDefault="000702FB" w:rsidP="00FA23CC">
      <w:pPr>
        <w:pStyle w:val="BodyText"/>
        <w:rPr>
          <w:b/>
          <w:sz w:val="20"/>
          <w:szCs w:val="20"/>
        </w:rPr>
      </w:pPr>
    </w:p>
    <w:p w:rsidR="000702FB" w:rsidRPr="00FA23CC" w:rsidRDefault="000702FB" w:rsidP="00FA23CC">
      <w:pPr>
        <w:pStyle w:val="BodyText"/>
        <w:rPr>
          <w:b/>
          <w:sz w:val="20"/>
          <w:szCs w:val="20"/>
        </w:rPr>
      </w:pPr>
    </w:p>
    <w:p w:rsidR="000702FB" w:rsidRPr="00FA23CC" w:rsidRDefault="00FA23CC" w:rsidP="00FA23CC">
      <w:pPr>
        <w:pStyle w:val="ListParagraph"/>
        <w:numPr>
          <w:ilvl w:val="1"/>
          <w:numId w:val="2"/>
        </w:numPr>
        <w:tabs>
          <w:tab w:val="left" w:pos="861"/>
        </w:tabs>
        <w:ind w:right="140"/>
        <w:jc w:val="both"/>
        <w:rPr>
          <w:sz w:val="20"/>
          <w:szCs w:val="20"/>
        </w:rPr>
      </w:pPr>
      <w:r w:rsidRPr="00FA23CC">
        <w:rPr>
          <w:sz w:val="20"/>
          <w:szCs w:val="20"/>
        </w:rPr>
        <w:t>(a) To assist the municipal pandemic response, R11 billion has been added to the local government equitable share. These funds will allow municipalities to maintain</w:t>
      </w:r>
      <w:r w:rsidRPr="00FA23CC">
        <w:rPr>
          <w:spacing w:val="-19"/>
          <w:sz w:val="20"/>
          <w:szCs w:val="20"/>
        </w:rPr>
        <w:t xml:space="preserve"> </w:t>
      </w:r>
      <w:r w:rsidRPr="00FA23CC">
        <w:rPr>
          <w:sz w:val="20"/>
          <w:szCs w:val="20"/>
        </w:rPr>
        <w:t>existing</w:t>
      </w:r>
      <w:r w:rsidRPr="00FA23CC">
        <w:rPr>
          <w:spacing w:val="-17"/>
          <w:sz w:val="20"/>
          <w:szCs w:val="20"/>
        </w:rPr>
        <w:t xml:space="preserve"> </w:t>
      </w:r>
      <w:r w:rsidRPr="00FA23CC">
        <w:rPr>
          <w:sz w:val="20"/>
          <w:szCs w:val="20"/>
        </w:rPr>
        <w:t>services</w:t>
      </w:r>
      <w:r w:rsidRPr="00FA23CC">
        <w:rPr>
          <w:spacing w:val="-16"/>
          <w:sz w:val="20"/>
          <w:szCs w:val="20"/>
        </w:rPr>
        <w:t xml:space="preserve"> </w:t>
      </w:r>
      <w:r w:rsidRPr="00FA23CC">
        <w:rPr>
          <w:sz w:val="20"/>
          <w:szCs w:val="20"/>
        </w:rPr>
        <w:t>despite</w:t>
      </w:r>
      <w:r w:rsidRPr="00FA23CC">
        <w:rPr>
          <w:spacing w:val="-18"/>
          <w:sz w:val="20"/>
          <w:szCs w:val="20"/>
        </w:rPr>
        <w:t xml:space="preserve"> </w:t>
      </w:r>
      <w:r w:rsidRPr="00FA23CC">
        <w:rPr>
          <w:sz w:val="20"/>
          <w:szCs w:val="20"/>
        </w:rPr>
        <w:t>a</w:t>
      </w:r>
      <w:r w:rsidRPr="00FA23CC">
        <w:rPr>
          <w:spacing w:val="-19"/>
          <w:sz w:val="20"/>
          <w:szCs w:val="20"/>
        </w:rPr>
        <w:t xml:space="preserve"> </w:t>
      </w:r>
      <w:r w:rsidRPr="00FA23CC">
        <w:rPr>
          <w:sz w:val="20"/>
          <w:szCs w:val="20"/>
        </w:rPr>
        <w:t>temporary</w:t>
      </w:r>
      <w:r w:rsidRPr="00FA23CC">
        <w:rPr>
          <w:spacing w:val="-19"/>
          <w:sz w:val="20"/>
          <w:szCs w:val="20"/>
        </w:rPr>
        <w:t xml:space="preserve"> </w:t>
      </w:r>
      <w:r w:rsidRPr="00FA23CC">
        <w:rPr>
          <w:sz w:val="20"/>
          <w:szCs w:val="20"/>
        </w:rPr>
        <w:t>decline</w:t>
      </w:r>
      <w:r w:rsidRPr="00FA23CC">
        <w:rPr>
          <w:spacing w:val="-18"/>
          <w:sz w:val="20"/>
          <w:szCs w:val="20"/>
        </w:rPr>
        <w:t xml:space="preserve"> </w:t>
      </w:r>
      <w:r w:rsidRPr="00FA23CC">
        <w:rPr>
          <w:sz w:val="20"/>
          <w:szCs w:val="20"/>
        </w:rPr>
        <w:t>in</w:t>
      </w:r>
      <w:r w:rsidRPr="00FA23CC">
        <w:rPr>
          <w:spacing w:val="-16"/>
          <w:sz w:val="20"/>
          <w:szCs w:val="20"/>
        </w:rPr>
        <w:t xml:space="preserve"> </w:t>
      </w:r>
      <w:r w:rsidRPr="00FA23CC">
        <w:rPr>
          <w:sz w:val="20"/>
          <w:szCs w:val="20"/>
        </w:rPr>
        <w:t>revenue</w:t>
      </w:r>
      <w:r w:rsidRPr="00FA23CC">
        <w:rPr>
          <w:spacing w:val="-17"/>
          <w:sz w:val="20"/>
          <w:szCs w:val="20"/>
        </w:rPr>
        <w:t xml:space="preserve"> </w:t>
      </w:r>
      <w:r w:rsidRPr="00FA23CC">
        <w:rPr>
          <w:sz w:val="20"/>
          <w:szCs w:val="20"/>
        </w:rPr>
        <w:t>collections.</w:t>
      </w:r>
      <w:r w:rsidRPr="00FA23CC">
        <w:rPr>
          <w:spacing w:val="-21"/>
          <w:sz w:val="20"/>
          <w:szCs w:val="20"/>
        </w:rPr>
        <w:t xml:space="preserve"> </w:t>
      </w:r>
      <w:r w:rsidRPr="00FA23CC">
        <w:rPr>
          <w:sz w:val="20"/>
          <w:szCs w:val="20"/>
        </w:rPr>
        <w:t xml:space="preserve">They will also cover </w:t>
      </w:r>
      <w:r w:rsidRPr="00FA23CC">
        <w:rPr>
          <w:sz w:val="20"/>
          <w:szCs w:val="20"/>
        </w:rPr>
        <w:t>some additional expenses incurred in responding to the pandemic, including</w:t>
      </w:r>
      <w:r w:rsidRPr="00FA23CC">
        <w:rPr>
          <w:spacing w:val="21"/>
          <w:sz w:val="20"/>
          <w:szCs w:val="20"/>
        </w:rPr>
        <w:t xml:space="preserve"> </w:t>
      </w:r>
      <w:r w:rsidRPr="00FA23CC">
        <w:rPr>
          <w:sz w:val="20"/>
          <w:szCs w:val="20"/>
        </w:rPr>
        <w:t>providing</w:t>
      </w:r>
      <w:r w:rsidRPr="00FA23CC">
        <w:rPr>
          <w:spacing w:val="20"/>
          <w:sz w:val="20"/>
          <w:szCs w:val="20"/>
        </w:rPr>
        <w:t xml:space="preserve"> </w:t>
      </w:r>
      <w:r w:rsidRPr="00FA23CC">
        <w:rPr>
          <w:sz w:val="20"/>
          <w:szCs w:val="20"/>
        </w:rPr>
        <w:t>temporary</w:t>
      </w:r>
      <w:r w:rsidRPr="00FA23CC">
        <w:rPr>
          <w:spacing w:val="20"/>
          <w:sz w:val="20"/>
          <w:szCs w:val="20"/>
        </w:rPr>
        <w:t xml:space="preserve"> </w:t>
      </w:r>
      <w:r w:rsidRPr="00FA23CC">
        <w:rPr>
          <w:sz w:val="20"/>
          <w:szCs w:val="20"/>
        </w:rPr>
        <w:t>shelter</w:t>
      </w:r>
      <w:r w:rsidRPr="00FA23CC">
        <w:rPr>
          <w:spacing w:val="21"/>
          <w:sz w:val="20"/>
          <w:szCs w:val="20"/>
        </w:rPr>
        <w:t xml:space="preserve"> </w:t>
      </w:r>
      <w:r w:rsidRPr="00FA23CC">
        <w:rPr>
          <w:sz w:val="20"/>
          <w:szCs w:val="20"/>
        </w:rPr>
        <w:t>for</w:t>
      </w:r>
      <w:r w:rsidRPr="00FA23CC">
        <w:rPr>
          <w:spacing w:val="21"/>
          <w:sz w:val="20"/>
          <w:szCs w:val="20"/>
        </w:rPr>
        <w:t xml:space="preserve"> </w:t>
      </w:r>
      <w:r w:rsidRPr="00FA23CC">
        <w:rPr>
          <w:sz w:val="20"/>
          <w:szCs w:val="20"/>
        </w:rPr>
        <w:t>homeless</w:t>
      </w:r>
      <w:r w:rsidRPr="00FA23CC">
        <w:rPr>
          <w:spacing w:val="21"/>
          <w:sz w:val="20"/>
          <w:szCs w:val="20"/>
        </w:rPr>
        <w:t xml:space="preserve"> </w:t>
      </w:r>
      <w:r w:rsidRPr="00FA23CC">
        <w:rPr>
          <w:sz w:val="20"/>
          <w:szCs w:val="20"/>
        </w:rPr>
        <w:t>people</w:t>
      </w:r>
      <w:r w:rsidRPr="00FA23CC">
        <w:rPr>
          <w:spacing w:val="22"/>
          <w:sz w:val="20"/>
          <w:szCs w:val="20"/>
        </w:rPr>
        <w:t xml:space="preserve"> </w:t>
      </w:r>
      <w:r w:rsidRPr="00FA23CC">
        <w:rPr>
          <w:sz w:val="20"/>
          <w:szCs w:val="20"/>
        </w:rPr>
        <w:t>during</w:t>
      </w:r>
      <w:r w:rsidRPr="00FA23CC">
        <w:rPr>
          <w:spacing w:val="20"/>
          <w:sz w:val="20"/>
          <w:szCs w:val="20"/>
        </w:rPr>
        <w:t xml:space="preserve"> </w:t>
      </w:r>
      <w:r w:rsidRPr="00FA23CC">
        <w:rPr>
          <w:sz w:val="20"/>
          <w:szCs w:val="20"/>
        </w:rPr>
        <w:t>the</w:t>
      </w:r>
      <w:r w:rsidRPr="00FA23CC">
        <w:rPr>
          <w:spacing w:val="24"/>
          <w:sz w:val="20"/>
          <w:szCs w:val="20"/>
        </w:rPr>
        <w:t xml:space="preserve"> </w:t>
      </w:r>
      <w:r w:rsidRPr="00FA23CC">
        <w:rPr>
          <w:sz w:val="20"/>
          <w:szCs w:val="20"/>
        </w:rPr>
        <w:t>lockdown.</w:t>
      </w:r>
    </w:p>
    <w:p w:rsidR="000702FB" w:rsidRPr="00FA23CC" w:rsidRDefault="000702FB" w:rsidP="00FA23CC">
      <w:pPr>
        <w:jc w:val="both"/>
        <w:rPr>
          <w:sz w:val="20"/>
          <w:szCs w:val="20"/>
        </w:rPr>
        <w:sectPr w:rsidR="000702FB" w:rsidRPr="00FA23CC">
          <w:type w:val="continuous"/>
          <w:pgSz w:w="12240" w:h="15840"/>
          <w:pgMar w:top="1440" w:right="1300" w:bottom="280" w:left="1300" w:header="720" w:footer="720" w:gutter="0"/>
          <w:cols w:space="720"/>
        </w:sectPr>
      </w:pPr>
    </w:p>
    <w:p w:rsidR="000702FB" w:rsidRPr="00FA23CC" w:rsidRDefault="00FA23CC" w:rsidP="00FA23CC">
      <w:pPr>
        <w:pStyle w:val="BodyText"/>
        <w:spacing w:before="78"/>
        <w:ind w:left="860" w:right="136"/>
        <w:jc w:val="both"/>
        <w:rPr>
          <w:sz w:val="20"/>
          <w:szCs w:val="20"/>
        </w:rPr>
      </w:pPr>
      <w:r w:rsidRPr="00FA23CC">
        <w:rPr>
          <w:sz w:val="20"/>
          <w:szCs w:val="20"/>
        </w:rPr>
        <w:lastRenderedPageBreak/>
        <w:t xml:space="preserve">These additions have been factored into the basic services component by increasing the number of poor </w:t>
      </w:r>
      <w:r w:rsidRPr="00FA23CC">
        <w:rPr>
          <w:sz w:val="20"/>
          <w:szCs w:val="20"/>
        </w:rPr>
        <w:t>households by 13.9 per cent and increasing the community services component by 41.5 per cent. The increase in the basic services component amounts to R7.5 billion. As a result, an additional 1.4 million poor households can be provided with free basic servi</w:t>
      </w:r>
      <w:r w:rsidRPr="00FA23CC">
        <w:rPr>
          <w:sz w:val="20"/>
          <w:szCs w:val="20"/>
        </w:rPr>
        <w:t>ces, up from 10.4 million households in the 2020 Budget, if they become indigent as a result of a loss of income</w:t>
      </w:r>
      <w:r w:rsidRPr="00FA23CC">
        <w:rPr>
          <w:spacing w:val="-9"/>
          <w:sz w:val="20"/>
          <w:szCs w:val="20"/>
        </w:rPr>
        <w:t xml:space="preserve"> </w:t>
      </w:r>
      <w:r w:rsidRPr="00FA23CC">
        <w:rPr>
          <w:sz w:val="20"/>
          <w:szCs w:val="20"/>
        </w:rPr>
        <w:t>during</w:t>
      </w:r>
      <w:r w:rsidRPr="00FA23CC">
        <w:rPr>
          <w:spacing w:val="-9"/>
          <w:sz w:val="20"/>
          <w:szCs w:val="20"/>
        </w:rPr>
        <w:t xml:space="preserve"> </w:t>
      </w:r>
      <w:r w:rsidRPr="00FA23CC">
        <w:rPr>
          <w:sz w:val="20"/>
          <w:szCs w:val="20"/>
        </w:rPr>
        <w:t>the</w:t>
      </w:r>
      <w:r w:rsidRPr="00FA23CC">
        <w:rPr>
          <w:spacing w:val="-8"/>
          <w:sz w:val="20"/>
          <w:szCs w:val="20"/>
        </w:rPr>
        <w:t xml:space="preserve"> </w:t>
      </w:r>
      <w:r w:rsidRPr="00FA23CC">
        <w:rPr>
          <w:sz w:val="20"/>
          <w:szCs w:val="20"/>
        </w:rPr>
        <w:t>pandemic.</w:t>
      </w:r>
      <w:r w:rsidRPr="00FA23CC">
        <w:rPr>
          <w:spacing w:val="-13"/>
          <w:sz w:val="20"/>
          <w:szCs w:val="20"/>
        </w:rPr>
        <w:t xml:space="preserve"> </w:t>
      </w:r>
      <w:r w:rsidRPr="00FA23CC">
        <w:rPr>
          <w:sz w:val="20"/>
          <w:szCs w:val="20"/>
        </w:rPr>
        <w:t>The</w:t>
      </w:r>
      <w:r w:rsidRPr="00FA23CC">
        <w:rPr>
          <w:spacing w:val="-6"/>
          <w:sz w:val="20"/>
          <w:szCs w:val="20"/>
        </w:rPr>
        <w:t xml:space="preserve"> </w:t>
      </w:r>
      <w:r w:rsidRPr="00FA23CC">
        <w:rPr>
          <w:sz w:val="20"/>
          <w:szCs w:val="20"/>
        </w:rPr>
        <w:t>community</w:t>
      </w:r>
      <w:r w:rsidRPr="00FA23CC">
        <w:rPr>
          <w:spacing w:val="-10"/>
          <w:sz w:val="20"/>
          <w:szCs w:val="20"/>
        </w:rPr>
        <w:t xml:space="preserve"> </w:t>
      </w:r>
      <w:r w:rsidRPr="00FA23CC">
        <w:rPr>
          <w:sz w:val="20"/>
          <w:szCs w:val="20"/>
        </w:rPr>
        <w:t>services</w:t>
      </w:r>
      <w:r w:rsidRPr="00FA23CC">
        <w:rPr>
          <w:spacing w:val="-7"/>
          <w:sz w:val="20"/>
          <w:szCs w:val="20"/>
        </w:rPr>
        <w:t xml:space="preserve"> </w:t>
      </w:r>
      <w:r w:rsidRPr="00FA23CC">
        <w:rPr>
          <w:sz w:val="20"/>
          <w:szCs w:val="20"/>
        </w:rPr>
        <w:t>component</w:t>
      </w:r>
      <w:r w:rsidRPr="00FA23CC">
        <w:rPr>
          <w:spacing w:val="-9"/>
          <w:sz w:val="20"/>
          <w:szCs w:val="20"/>
        </w:rPr>
        <w:t xml:space="preserve"> </w:t>
      </w:r>
      <w:r w:rsidRPr="00FA23CC">
        <w:rPr>
          <w:sz w:val="20"/>
          <w:szCs w:val="20"/>
        </w:rPr>
        <w:t>of</w:t>
      </w:r>
      <w:r w:rsidRPr="00FA23CC">
        <w:rPr>
          <w:spacing w:val="-7"/>
          <w:sz w:val="20"/>
          <w:szCs w:val="20"/>
        </w:rPr>
        <w:t xml:space="preserve"> </w:t>
      </w:r>
      <w:r w:rsidRPr="00FA23CC">
        <w:rPr>
          <w:sz w:val="20"/>
          <w:szCs w:val="20"/>
        </w:rPr>
        <w:t>the</w:t>
      </w:r>
      <w:r w:rsidRPr="00FA23CC">
        <w:rPr>
          <w:spacing w:val="-8"/>
          <w:sz w:val="20"/>
          <w:szCs w:val="20"/>
        </w:rPr>
        <w:t xml:space="preserve"> </w:t>
      </w:r>
      <w:r w:rsidRPr="00FA23CC">
        <w:rPr>
          <w:sz w:val="20"/>
          <w:szCs w:val="20"/>
        </w:rPr>
        <w:t>equitable share increases by R3.5 billion. The revenue adjustment factor that is applied to this component of the equitable share formula ensures that this increase will benefit poor and rural municipalities with little capacity to raise own revenue. The t</w:t>
      </w:r>
      <w:r w:rsidRPr="00FA23CC">
        <w:rPr>
          <w:sz w:val="20"/>
          <w:szCs w:val="20"/>
        </w:rPr>
        <w:t>otal allocation for the community services component increased by 32 per cent. This</w:t>
      </w:r>
      <w:r w:rsidRPr="00FA23CC">
        <w:rPr>
          <w:spacing w:val="-10"/>
          <w:sz w:val="20"/>
          <w:szCs w:val="20"/>
        </w:rPr>
        <w:t xml:space="preserve"> </w:t>
      </w:r>
      <w:r w:rsidRPr="00FA23CC">
        <w:rPr>
          <w:sz w:val="20"/>
          <w:szCs w:val="20"/>
        </w:rPr>
        <w:t>component</w:t>
      </w:r>
      <w:r w:rsidRPr="00FA23CC">
        <w:rPr>
          <w:spacing w:val="-10"/>
          <w:sz w:val="20"/>
          <w:szCs w:val="20"/>
        </w:rPr>
        <w:t xml:space="preserve"> </w:t>
      </w:r>
      <w:r w:rsidRPr="00FA23CC">
        <w:rPr>
          <w:sz w:val="20"/>
          <w:szCs w:val="20"/>
        </w:rPr>
        <w:t>funds</w:t>
      </w:r>
      <w:r w:rsidRPr="00FA23CC">
        <w:rPr>
          <w:spacing w:val="-9"/>
          <w:sz w:val="20"/>
          <w:szCs w:val="20"/>
        </w:rPr>
        <w:t xml:space="preserve"> </w:t>
      </w:r>
      <w:r w:rsidRPr="00FA23CC">
        <w:rPr>
          <w:sz w:val="20"/>
          <w:szCs w:val="20"/>
        </w:rPr>
        <w:t>a</w:t>
      </w:r>
      <w:r w:rsidRPr="00FA23CC">
        <w:rPr>
          <w:spacing w:val="-6"/>
          <w:sz w:val="20"/>
          <w:szCs w:val="20"/>
        </w:rPr>
        <w:t xml:space="preserve"> </w:t>
      </w:r>
      <w:r w:rsidRPr="00FA23CC">
        <w:rPr>
          <w:sz w:val="20"/>
          <w:szCs w:val="20"/>
        </w:rPr>
        <w:t>range</w:t>
      </w:r>
      <w:r w:rsidRPr="00FA23CC">
        <w:rPr>
          <w:spacing w:val="-8"/>
          <w:sz w:val="20"/>
          <w:szCs w:val="20"/>
        </w:rPr>
        <w:t xml:space="preserve"> </w:t>
      </w:r>
      <w:r w:rsidRPr="00FA23CC">
        <w:rPr>
          <w:sz w:val="20"/>
          <w:szCs w:val="20"/>
        </w:rPr>
        <w:t>of</w:t>
      </w:r>
      <w:r w:rsidRPr="00FA23CC">
        <w:rPr>
          <w:spacing w:val="-6"/>
          <w:sz w:val="20"/>
          <w:szCs w:val="20"/>
        </w:rPr>
        <w:t xml:space="preserve"> </w:t>
      </w:r>
      <w:r w:rsidRPr="00FA23CC">
        <w:rPr>
          <w:sz w:val="20"/>
          <w:szCs w:val="20"/>
        </w:rPr>
        <w:t>services</w:t>
      </w:r>
      <w:r w:rsidRPr="00FA23CC">
        <w:rPr>
          <w:spacing w:val="-6"/>
          <w:sz w:val="20"/>
          <w:szCs w:val="20"/>
        </w:rPr>
        <w:t xml:space="preserve"> </w:t>
      </w:r>
      <w:r w:rsidRPr="00FA23CC">
        <w:rPr>
          <w:sz w:val="20"/>
          <w:szCs w:val="20"/>
        </w:rPr>
        <w:t>that</w:t>
      </w:r>
      <w:r w:rsidRPr="00FA23CC">
        <w:rPr>
          <w:spacing w:val="-6"/>
          <w:sz w:val="20"/>
          <w:szCs w:val="20"/>
        </w:rPr>
        <w:t xml:space="preserve"> </w:t>
      </w:r>
      <w:r w:rsidRPr="00FA23CC">
        <w:rPr>
          <w:sz w:val="20"/>
          <w:szCs w:val="20"/>
        </w:rPr>
        <w:t>are</w:t>
      </w:r>
      <w:r w:rsidRPr="00FA23CC">
        <w:rPr>
          <w:spacing w:val="-9"/>
          <w:sz w:val="20"/>
          <w:szCs w:val="20"/>
        </w:rPr>
        <w:t xml:space="preserve"> </w:t>
      </w:r>
      <w:r w:rsidRPr="00FA23CC">
        <w:rPr>
          <w:sz w:val="20"/>
          <w:szCs w:val="20"/>
        </w:rPr>
        <w:t>part</w:t>
      </w:r>
      <w:r w:rsidRPr="00FA23CC">
        <w:rPr>
          <w:spacing w:val="-9"/>
          <w:sz w:val="20"/>
          <w:szCs w:val="20"/>
        </w:rPr>
        <w:t xml:space="preserve"> </w:t>
      </w:r>
      <w:r w:rsidRPr="00FA23CC">
        <w:rPr>
          <w:sz w:val="20"/>
          <w:szCs w:val="20"/>
        </w:rPr>
        <w:t>of</w:t>
      </w:r>
      <w:r w:rsidRPr="00FA23CC">
        <w:rPr>
          <w:spacing w:val="-6"/>
          <w:sz w:val="20"/>
          <w:szCs w:val="20"/>
        </w:rPr>
        <w:t xml:space="preserve"> </w:t>
      </w:r>
      <w:r w:rsidRPr="00FA23CC">
        <w:rPr>
          <w:sz w:val="20"/>
          <w:szCs w:val="20"/>
        </w:rPr>
        <w:t>the</w:t>
      </w:r>
      <w:r w:rsidRPr="00FA23CC">
        <w:rPr>
          <w:spacing w:val="-8"/>
          <w:sz w:val="20"/>
          <w:szCs w:val="20"/>
        </w:rPr>
        <w:t xml:space="preserve"> </w:t>
      </w:r>
      <w:r w:rsidRPr="00FA23CC">
        <w:rPr>
          <w:sz w:val="20"/>
          <w:szCs w:val="20"/>
        </w:rPr>
        <w:t>pandemic</w:t>
      </w:r>
      <w:r w:rsidRPr="00FA23CC">
        <w:rPr>
          <w:spacing w:val="-7"/>
          <w:sz w:val="20"/>
          <w:szCs w:val="20"/>
        </w:rPr>
        <w:t xml:space="preserve"> </w:t>
      </w:r>
      <w:r w:rsidRPr="00FA23CC">
        <w:rPr>
          <w:sz w:val="20"/>
          <w:szCs w:val="20"/>
        </w:rPr>
        <w:t>response, including municipal health services, and services to cemeteries and crematories. Details about t</w:t>
      </w:r>
      <w:r w:rsidRPr="00FA23CC">
        <w:rPr>
          <w:sz w:val="20"/>
          <w:szCs w:val="20"/>
        </w:rPr>
        <w:t xml:space="preserve">he structure of the components of the local government equitable share formula can be found in Annexure </w:t>
      </w:r>
      <w:r w:rsidRPr="00FA23CC">
        <w:rPr>
          <w:spacing w:val="4"/>
          <w:sz w:val="20"/>
          <w:szCs w:val="20"/>
        </w:rPr>
        <w:t xml:space="preserve">W1 </w:t>
      </w:r>
      <w:r w:rsidRPr="00FA23CC">
        <w:rPr>
          <w:sz w:val="20"/>
          <w:szCs w:val="20"/>
        </w:rPr>
        <w:t xml:space="preserve">of the 2020 </w:t>
      </w:r>
      <w:r w:rsidRPr="00FA23CC">
        <w:rPr>
          <w:i/>
          <w:sz w:val="20"/>
          <w:szCs w:val="20"/>
        </w:rPr>
        <w:t>Budget</w:t>
      </w:r>
      <w:r w:rsidRPr="00FA23CC">
        <w:rPr>
          <w:i/>
          <w:spacing w:val="-18"/>
          <w:sz w:val="20"/>
          <w:szCs w:val="20"/>
        </w:rPr>
        <w:t xml:space="preserve"> </w:t>
      </w:r>
      <w:r w:rsidRPr="00FA23CC">
        <w:rPr>
          <w:i/>
          <w:sz w:val="20"/>
          <w:szCs w:val="20"/>
        </w:rPr>
        <w:t>Review</w:t>
      </w:r>
      <w:r w:rsidRPr="00FA23CC">
        <w:rPr>
          <w:sz w:val="20"/>
          <w:szCs w:val="20"/>
        </w:rPr>
        <w:t>.</w:t>
      </w:r>
    </w:p>
    <w:p w:rsidR="000702FB" w:rsidRPr="00FA23CC" w:rsidRDefault="00FA23CC" w:rsidP="00FA23CC">
      <w:pPr>
        <w:pStyle w:val="ListParagraph"/>
        <w:numPr>
          <w:ilvl w:val="0"/>
          <w:numId w:val="1"/>
        </w:numPr>
        <w:tabs>
          <w:tab w:val="left" w:pos="860"/>
          <w:tab w:val="left" w:pos="861"/>
        </w:tabs>
        <w:spacing w:before="1"/>
        <w:ind w:right="147"/>
        <w:rPr>
          <w:sz w:val="20"/>
          <w:szCs w:val="20"/>
        </w:rPr>
      </w:pPr>
      <w:r w:rsidRPr="00FA23CC">
        <w:rPr>
          <w:sz w:val="20"/>
          <w:szCs w:val="20"/>
        </w:rPr>
        <w:t>The department does not have information of municipalities with excessive large salary</w:t>
      </w:r>
      <w:r w:rsidRPr="00FA23CC">
        <w:rPr>
          <w:spacing w:val="-4"/>
          <w:sz w:val="20"/>
          <w:szCs w:val="20"/>
        </w:rPr>
        <w:t xml:space="preserve"> </w:t>
      </w:r>
      <w:r w:rsidRPr="00FA23CC">
        <w:rPr>
          <w:sz w:val="20"/>
          <w:szCs w:val="20"/>
        </w:rPr>
        <w:t>expenditure.</w:t>
      </w:r>
    </w:p>
    <w:p w:rsidR="000702FB" w:rsidRPr="00FA23CC" w:rsidRDefault="00FA23CC" w:rsidP="00FA23CC">
      <w:pPr>
        <w:pStyle w:val="ListParagraph"/>
        <w:numPr>
          <w:ilvl w:val="0"/>
          <w:numId w:val="1"/>
        </w:numPr>
        <w:tabs>
          <w:tab w:val="left" w:pos="860"/>
          <w:tab w:val="left" w:pos="861"/>
        </w:tabs>
        <w:ind w:right="146"/>
        <w:rPr>
          <w:sz w:val="20"/>
          <w:szCs w:val="20"/>
        </w:rPr>
      </w:pPr>
      <w:r w:rsidRPr="00FA23CC">
        <w:rPr>
          <w:sz w:val="20"/>
          <w:szCs w:val="20"/>
        </w:rPr>
        <w:t>The department current</w:t>
      </w:r>
      <w:r w:rsidRPr="00FA23CC">
        <w:rPr>
          <w:sz w:val="20"/>
          <w:szCs w:val="20"/>
        </w:rPr>
        <w:t>ly does not have information of municipalities with superfluous</w:t>
      </w:r>
      <w:r w:rsidRPr="00FA23CC">
        <w:rPr>
          <w:spacing w:val="-3"/>
          <w:sz w:val="20"/>
          <w:szCs w:val="20"/>
        </w:rPr>
        <w:t xml:space="preserve"> </w:t>
      </w:r>
      <w:r w:rsidRPr="00FA23CC">
        <w:rPr>
          <w:sz w:val="20"/>
          <w:szCs w:val="20"/>
        </w:rPr>
        <w:t>posts.</w:t>
      </w:r>
    </w:p>
    <w:p w:rsidR="000702FB" w:rsidRPr="00FA23CC" w:rsidRDefault="00FA23CC" w:rsidP="00FA23CC">
      <w:pPr>
        <w:pStyle w:val="ListParagraph"/>
        <w:numPr>
          <w:ilvl w:val="0"/>
          <w:numId w:val="1"/>
        </w:numPr>
        <w:tabs>
          <w:tab w:val="left" w:pos="860"/>
          <w:tab w:val="left" w:pos="861"/>
        </w:tabs>
        <w:ind w:hanging="721"/>
        <w:rPr>
          <w:sz w:val="20"/>
          <w:szCs w:val="20"/>
        </w:rPr>
      </w:pPr>
      <w:r w:rsidRPr="00FA23CC">
        <w:rPr>
          <w:sz w:val="20"/>
          <w:szCs w:val="20"/>
        </w:rPr>
        <w:t>Retrenchments are determined by</w:t>
      </w:r>
      <w:r w:rsidRPr="00FA23CC">
        <w:rPr>
          <w:spacing w:val="-4"/>
          <w:sz w:val="20"/>
          <w:szCs w:val="20"/>
        </w:rPr>
        <w:t xml:space="preserve"> </w:t>
      </w:r>
      <w:r w:rsidRPr="00FA23CC">
        <w:rPr>
          <w:sz w:val="20"/>
          <w:szCs w:val="20"/>
        </w:rPr>
        <w:t>employer.</w:t>
      </w:r>
    </w:p>
    <w:p w:rsidR="000702FB" w:rsidRPr="00FA23CC" w:rsidRDefault="00FA23CC" w:rsidP="00FA23CC">
      <w:pPr>
        <w:pStyle w:val="ListParagraph"/>
        <w:numPr>
          <w:ilvl w:val="1"/>
          <w:numId w:val="2"/>
        </w:numPr>
        <w:tabs>
          <w:tab w:val="left" w:pos="861"/>
        </w:tabs>
        <w:spacing w:before="139"/>
        <w:ind w:hanging="361"/>
        <w:rPr>
          <w:sz w:val="20"/>
          <w:szCs w:val="20"/>
        </w:rPr>
      </w:pPr>
      <w:r w:rsidRPr="00FA23CC">
        <w:rPr>
          <w:sz w:val="20"/>
          <w:szCs w:val="20"/>
        </w:rPr>
        <w:t>No.</w:t>
      </w:r>
    </w:p>
    <w:p w:rsidR="000702FB" w:rsidRPr="00FA23CC" w:rsidRDefault="000702FB" w:rsidP="00FA23CC">
      <w:pPr>
        <w:pStyle w:val="BodyText"/>
        <w:rPr>
          <w:sz w:val="20"/>
          <w:szCs w:val="20"/>
        </w:rPr>
      </w:pPr>
    </w:p>
    <w:p w:rsidR="000702FB" w:rsidRPr="00FA23CC" w:rsidRDefault="000702FB" w:rsidP="00FA23CC">
      <w:pPr>
        <w:pStyle w:val="BodyText"/>
        <w:rPr>
          <w:sz w:val="20"/>
          <w:szCs w:val="20"/>
        </w:rPr>
      </w:pPr>
    </w:p>
    <w:p w:rsidR="000702FB" w:rsidRPr="00FA23CC" w:rsidRDefault="00FA23CC" w:rsidP="00FA23CC">
      <w:pPr>
        <w:pStyle w:val="Heading1"/>
        <w:ind w:left="140"/>
        <w:rPr>
          <w:sz w:val="20"/>
          <w:szCs w:val="20"/>
        </w:rPr>
      </w:pPr>
      <w:r w:rsidRPr="00FA23CC">
        <w:rPr>
          <w:sz w:val="20"/>
          <w:szCs w:val="20"/>
        </w:rPr>
        <w:t>End.</w:t>
      </w:r>
    </w:p>
    <w:sectPr w:rsidR="000702FB" w:rsidRPr="00FA23CC" w:rsidSect="000702FB">
      <w:pgSz w:w="12240" w:h="15840"/>
      <w:pgMar w:top="136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5912"/>
    <w:multiLevelType w:val="hybridMultilevel"/>
    <w:tmpl w:val="9BF466B0"/>
    <w:lvl w:ilvl="0" w:tplc="C3A2D966">
      <w:start w:val="1"/>
      <w:numFmt w:val="decimal"/>
      <w:lvlText w:val="(%1)"/>
      <w:lvlJc w:val="left"/>
      <w:pPr>
        <w:ind w:left="860" w:hanging="653"/>
        <w:jc w:val="right"/>
      </w:pPr>
      <w:rPr>
        <w:rFonts w:ascii="Arial" w:eastAsia="Arial" w:hAnsi="Arial" w:cs="Arial" w:hint="default"/>
        <w:w w:val="99"/>
        <w:sz w:val="24"/>
        <w:szCs w:val="24"/>
        <w:lang w:val="en-US" w:eastAsia="en-US" w:bidi="en-US"/>
      </w:rPr>
    </w:lvl>
    <w:lvl w:ilvl="1" w:tplc="D57A5A5E">
      <w:start w:val="1"/>
      <w:numFmt w:val="decimal"/>
      <w:lvlText w:val="%2."/>
      <w:lvlJc w:val="left"/>
      <w:pPr>
        <w:ind w:left="860" w:hanging="360"/>
        <w:jc w:val="left"/>
      </w:pPr>
      <w:rPr>
        <w:rFonts w:ascii="Arial" w:eastAsia="Arial" w:hAnsi="Arial" w:cs="Arial" w:hint="default"/>
        <w:spacing w:val="-24"/>
        <w:w w:val="99"/>
        <w:sz w:val="24"/>
        <w:szCs w:val="24"/>
        <w:lang w:val="en-US" w:eastAsia="en-US" w:bidi="en-US"/>
      </w:rPr>
    </w:lvl>
    <w:lvl w:ilvl="2" w:tplc="5A12D8B2">
      <w:numFmt w:val="bullet"/>
      <w:lvlText w:val="•"/>
      <w:lvlJc w:val="left"/>
      <w:pPr>
        <w:ind w:left="2616" w:hanging="360"/>
      </w:pPr>
      <w:rPr>
        <w:rFonts w:hint="default"/>
        <w:lang w:val="en-US" w:eastAsia="en-US" w:bidi="en-US"/>
      </w:rPr>
    </w:lvl>
    <w:lvl w:ilvl="3" w:tplc="CB727D60">
      <w:numFmt w:val="bullet"/>
      <w:lvlText w:val="•"/>
      <w:lvlJc w:val="left"/>
      <w:pPr>
        <w:ind w:left="3494" w:hanging="360"/>
      </w:pPr>
      <w:rPr>
        <w:rFonts w:hint="default"/>
        <w:lang w:val="en-US" w:eastAsia="en-US" w:bidi="en-US"/>
      </w:rPr>
    </w:lvl>
    <w:lvl w:ilvl="4" w:tplc="31DC1DBE">
      <w:numFmt w:val="bullet"/>
      <w:lvlText w:val="•"/>
      <w:lvlJc w:val="left"/>
      <w:pPr>
        <w:ind w:left="4372" w:hanging="360"/>
      </w:pPr>
      <w:rPr>
        <w:rFonts w:hint="default"/>
        <w:lang w:val="en-US" w:eastAsia="en-US" w:bidi="en-US"/>
      </w:rPr>
    </w:lvl>
    <w:lvl w:ilvl="5" w:tplc="518E34EA">
      <w:numFmt w:val="bullet"/>
      <w:lvlText w:val="•"/>
      <w:lvlJc w:val="left"/>
      <w:pPr>
        <w:ind w:left="5250" w:hanging="360"/>
      </w:pPr>
      <w:rPr>
        <w:rFonts w:hint="default"/>
        <w:lang w:val="en-US" w:eastAsia="en-US" w:bidi="en-US"/>
      </w:rPr>
    </w:lvl>
    <w:lvl w:ilvl="6" w:tplc="61100FF8">
      <w:numFmt w:val="bullet"/>
      <w:lvlText w:val="•"/>
      <w:lvlJc w:val="left"/>
      <w:pPr>
        <w:ind w:left="6128" w:hanging="360"/>
      </w:pPr>
      <w:rPr>
        <w:rFonts w:hint="default"/>
        <w:lang w:val="en-US" w:eastAsia="en-US" w:bidi="en-US"/>
      </w:rPr>
    </w:lvl>
    <w:lvl w:ilvl="7" w:tplc="E856EB4A">
      <w:numFmt w:val="bullet"/>
      <w:lvlText w:val="•"/>
      <w:lvlJc w:val="left"/>
      <w:pPr>
        <w:ind w:left="7006" w:hanging="360"/>
      </w:pPr>
      <w:rPr>
        <w:rFonts w:hint="default"/>
        <w:lang w:val="en-US" w:eastAsia="en-US" w:bidi="en-US"/>
      </w:rPr>
    </w:lvl>
    <w:lvl w:ilvl="8" w:tplc="12E2E32C">
      <w:numFmt w:val="bullet"/>
      <w:lvlText w:val="•"/>
      <w:lvlJc w:val="left"/>
      <w:pPr>
        <w:ind w:left="7884" w:hanging="360"/>
      </w:pPr>
      <w:rPr>
        <w:rFonts w:hint="default"/>
        <w:lang w:val="en-US" w:eastAsia="en-US" w:bidi="en-US"/>
      </w:rPr>
    </w:lvl>
  </w:abstractNum>
  <w:abstractNum w:abstractNumId="1">
    <w:nsid w:val="38432C44"/>
    <w:multiLevelType w:val="hybridMultilevel"/>
    <w:tmpl w:val="C5FE1FBE"/>
    <w:lvl w:ilvl="0" w:tplc="4042B6F2">
      <w:start w:val="2"/>
      <w:numFmt w:val="lowerLetter"/>
      <w:lvlText w:val="(%1)"/>
      <w:lvlJc w:val="left"/>
      <w:pPr>
        <w:ind w:left="860" w:hanging="720"/>
        <w:jc w:val="left"/>
      </w:pPr>
      <w:rPr>
        <w:rFonts w:ascii="Arial" w:eastAsia="Arial" w:hAnsi="Arial" w:cs="Arial" w:hint="default"/>
        <w:w w:val="99"/>
        <w:sz w:val="24"/>
        <w:szCs w:val="24"/>
        <w:lang w:val="en-US" w:eastAsia="en-US" w:bidi="en-US"/>
      </w:rPr>
    </w:lvl>
    <w:lvl w:ilvl="1" w:tplc="CF36F116">
      <w:numFmt w:val="bullet"/>
      <w:lvlText w:val="•"/>
      <w:lvlJc w:val="left"/>
      <w:pPr>
        <w:ind w:left="1738" w:hanging="720"/>
      </w:pPr>
      <w:rPr>
        <w:rFonts w:hint="default"/>
        <w:lang w:val="en-US" w:eastAsia="en-US" w:bidi="en-US"/>
      </w:rPr>
    </w:lvl>
    <w:lvl w:ilvl="2" w:tplc="863E63B4">
      <w:numFmt w:val="bullet"/>
      <w:lvlText w:val="•"/>
      <w:lvlJc w:val="left"/>
      <w:pPr>
        <w:ind w:left="2616" w:hanging="720"/>
      </w:pPr>
      <w:rPr>
        <w:rFonts w:hint="default"/>
        <w:lang w:val="en-US" w:eastAsia="en-US" w:bidi="en-US"/>
      </w:rPr>
    </w:lvl>
    <w:lvl w:ilvl="3" w:tplc="57886058">
      <w:numFmt w:val="bullet"/>
      <w:lvlText w:val="•"/>
      <w:lvlJc w:val="left"/>
      <w:pPr>
        <w:ind w:left="3494" w:hanging="720"/>
      </w:pPr>
      <w:rPr>
        <w:rFonts w:hint="default"/>
        <w:lang w:val="en-US" w:eastAsia="en-US" w:bidi="en-US"/>
      </w:rPr>
    </w:lvl>
    <w:lvl w:ilvl="4" w:tplc="76B6C218">
      <w:numFmt w:val="bullet"/>
      <w:lvlText w:val="•"/>
      <w:lvlJc w:val="left"/>
      <w:pPr>
        <w:ind w:left="4372" w:hanging="720"/>
      </w:pPr>
      <w:rPr>
        <w:rFonts w:hint="default"/>
        <w:lang w:val="en-US" w:eastAsia="en-US" w:bidi="en-US"/>
      </w:rPr>
    </w:lvl>
    <w:lvl w:ilvl="5" w:tplc="9D88E382">
      <w:numFmt w:val="bullet"/>
      <w:lvlText w:val="•"/>
      <w:lvlJc w:val="left"/>
      <w:pPr>
        <w:ind w:left="5250" w:hanging="720"/>
      </w:pPr>
      <w:rPr>
        <w:rFonts w:hint="default"/>
        <w:lang w:val="en-US" w:eastAsia="en-US" w:bidi="en-US"/>
      </w:rPr>
    </w:lvl>
    <w:lvl w:ilvl="6" w:tplc="AF9A37E0">
      <w:numFmt w:val="bullet"/>
      <w:lvlText w:val="•"/>
      <w:lvlJc w:val="left"/>
      <w:pPr>
        <w:ind w:left="6128" w:hanging="720"/>
      </w:pPr>
      <w:rPr>
        <w:rFonts w:hint="default"/>
        <w:lang w:val="en-US" w:eastAsia="en-US" w:bidi="en-US"/>
      </w:rPr>
    </w:lvl>
    <w:lvl w:ilvl="7" w:tplc="DC3A287A">
      <w:numFmt w:val="bullet"/>
      <w:lvlText w:val="•"/>
      <w:lvlJc w:val="left"/>
      <w:pPr>
        <w:ind w:left="7006" w:hanging="720"/>
      </w:pPr>
      <w:rPr>
        <w:rFonts w:hint="default"/>
        <w:lang w:val="en-US" w:eastAsia="en-US" w:bidi="en-US"/>
      </w:rPr>
    </w:lvl>
    <w:lvl w:ilvl="8" w:tplc="4E6629A0">
      <w:numFmt w:val="bullet"/>
      <w:lvlText w:val="•"/>
      <w:lvlJc w:val="left"/>
      <w:pPr>
        <w:ind w:left="7884" w:hanging="72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0702FB"/>
    <w:rsid w:val="000702FB"/>
    <w:rsid w:val="00FA23C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2FB"/>
    <w:rPr>
      <w:rFonts w:ascii="Arial" w:eastAsia="Arial" w:hAnsi="Arial" w:cs="Arial"/>
      <w:lang w:bidi="en-US"/>
    </w:rPr>
  </w:style>
  <w:style w:type="paragraph" w:styleId="Heading1">
    <w:name w:val="heading 1"/>
    <w:basedOn w:val="Normal"/>
    <w:uiPriority w:val="1"/>
    <w:qFormat/>
    <w:rsid w:val="000702FB"/>
    <w:pPr>
      <w:ind w:left="13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02FB"/>
    <w:rPr>
      <w:sz w:val="24"/>
      <w:szCs w:val="24"/>
    </w:rPr>
  </w:style>
  <w:style w:type="paragraph" w:styleId="ListParagraph">
    <w:name w:val="List Paragraph"/>
    <w:basedOn w:val="Normal"/>
    <w:uiPriority w:val="1"/>
    <w:qFormat/>
    <w:rsid w:val="000702FB"/>
    <w:pPr>
      <w:ind w:left="860" w:hanging="721"/>
    </w:pPr>
  </w:style>
  <w:style w:type="paragraph" w:customStyle="1" w:styleId="TableParagraph">
    <w:name w:val="Table Paragraph"/>
    <w:basedOn w:val="Normal"/>
    <w:uiPriority w:val="1"/>
    <w:qFormat/>
    <w:rsid w:val="000702FB"/>
  </w:style>
  <w:style w:type="paragraph" w:styleId="BalloonText">
    <w:name w:val="Balloon Text"/>
    <w:basedOn w:val="Normal"/>
    <w:link w:val="BalloonTextChar"/>
    <w:uiPriority w:val="99"/>
    <w:semiHidden/>
    <w:unhideWhenUsed/>
    <w:rsid w:val="00FA23CC"/>
    <w:rPr>
      <w:rFonts w:ascii="Tahoma" w:hAnsi="Tahoma" w:cs="Tahoma"/>
      <w:sz w:val="16"/>
      <w:szCs w:val="16"/>
    </w:rPr>
  </w:style>
  <w:style w:type="character" w:customStyle="1" w:styleId="BalloonTextChar">
    <w:name w:val="Balloon Text Char"/>
    <w:basedOn w:val="DefaultParagraphFont"/>
    <w:link w:val="BalloonText"/>
    <w:uiPriority w:val="99"/>
    <w:semiHidden/>
    <w:rsid w:val="00FA23CC"/>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Company>Toshiba</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PMG User</cp:lastModifiedBy>
  <cp:revision>2</cp:revision>
  <dcterms:created xsi:type="dcterms:W3CDTF">2020-09-10T06:53:00Z</dcterms:created>
  <dcterms:modified xsi:type="dcterms:W3CDTF">2020-09-10T06:55:00Z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2020-09-10T00:00:00Z</vt:filetime>
  </property>
</Properties>
</file>