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4C4978"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4C4978" w:rsidRDefault="004C4978" w:rsidP="005A0A25">
      <w:pPr>
        <w:spacing w:after="0" w:line="360" w:lineRule="auto"/>
        <w:ind w:left="720" w:hanging="720"/>
        <w:jc w:val="center"/>
        <w:outlineLvl w:val="0"/>
        <w:rPr>
          <w:rFonts w:ascii="Arial" w:hAnsi="Arial" w:cs="Arial"/>
          <w:b/>
          <w:sz w:val="24"/>
          <w:szCs w:val="24"/>
        </w:rPr>
      </w:pPr>
    </w:p>
    <w:p w:rsidR="00936D98" w:rsidRDefault="00936D98" w:rsidP="005A0A25">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5A0A25">
      <w:pPr>
        <w:spacing w:after="0" w:line="360" w:lineRule="auto"/>
        <w:ind w:left="720" w:hanging="720"/>
        <w:jc w:val="center"/>
        <w:outlineLvl w:val="0"/>
        <w:rPr>
          <w:rFonts w:ascii="Arial" w:hAnsi="Arial" w:cs="Arial"/>
          <w:b/>
          <w:sz w:val="24"/>
          <w:szCs w:val="24"/>
        </w:rPr>
      </w:pPr>
    </w:p>
    <w:p w:rsidR="00936D98" w:rsidRPr="00B236EF" w:rsidRDefault="00936D98" w:rsidP="005A0A25">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1B3EB2">
      <w:pPr>
        <w:spacing w:after="0" w:line="360" w:lineRule="auto"/>
        <w:ind w:left="720" w:hanging="720"/>
        <w:jc w:val="both"/>
        <w:outlineLvl w:val="0"/>
        <w:rPr>
          <w:rFonts w:ascii="Arial" w:hAnsi="Arial" w:cs="Arial"/>
          <w:b/>
          <w:bCs/>
          <w:sz w:val="24"/>
          <w:szCs w:val="24"/>
        </w:rPr>
      </w:pPr>
    </w:p>
    <w:p w:rsidR="00B236EF" w:rsidRDefault="00B236EF" w:rsidP="001B3EB2">
      <w:pPr>
        <w:spacing w:after="0" w:line="360" w:lineRule="auto"/>
        <w:ind w:left="567" w:hanging="567"/>
        <w:jc w:val="both"/>
        <w:outlineLvl w:val="0"/>
        <w:rPr>
          <w:rFonts w:ascii="Arial" w:hAnsi="Arial" w:cs="Arial"/>
          <w:b/>
          <w:bCs/>
          <w:sz w:val="24"/>
          <w:szCs w:val="24"/>
        </w:rPr>
      </w:pPr>
      <w:r>
        <w:rPr>
          <w:rFonts w:ascii="Arial" w:hAnsi="Arial" w:cs="Arial"/>
          <w:b/>
          <w:bCs/>
          <w:sz w:val="24"/>
          <w:szCs w:val="24"/>
        </w:rPr>
        <w:t>QUESTION</w:t>
      </w:r>
      <w:r w:rsidR="00C85DD8">
        <w:rPr>
          <w:rFonts w:ascii="Arial" w:hAnsi="Arial" w:cs="Arial"/>
          <w:b/>
          <w:bCs/>
          <w:sz w:val="24"/>
          <w:szCs w:val="24"/>
        </w:rPr>
        <w:t xml:space="preserve"> NO</w:t>
      </w:r>
      <w:r w:rsidR="0099780F">
        <w:rPr>
          <w:rFonts w:ascii="Arial" w:hAnsi="Arial" w:cs="Arial"/>
          <w:b/>
          <w:bCs/>
          <w:sz w:val="24"/>
          <w:szCs w:val="24"/>
        </w:rPr>
        <w:t>. 1306</w:t>
      </w:r>
      <w:r w:rsidR="00294D96" w:rsidRPr="00B236EF">
        <w:rPr>
          <w:rFonts w:ascii="Arial" w:hAnsi="Arial" w:cs="Arial"/>
          <w:b/>
          <w:bCs/>
          <w:sz w:val="24"/>
          <w:szCs w:val="24"/>
        </w:rPr>
        <w:tab/>
      </w:r>
    </w:p>
    <w:p w:rsidR="004C4978" w:rsidRDefault="004C4978" w:rsidP="001B3EB2">
      <w:pPr>
        <w:spacing w:after="0" w:line="360" w:lineRule="auto"/>
        <w:ind w:left="567" w:hanging="567"/>
        <w:jc w:val="both"/>
        <w:outlineLvl w:val="0"/>
        <w:rPr>
          <w:rFonts w:ascii="Arial" w:hAnsi="Arial" w:cs="Arial"/>
          <w:b/>
          <w:bCs/>
          <w:sz w:val="24"/>
          <w:szCs w:val="24"/>
        </w:rPr>
      </w:pPr>
      <w:r>
        <w:rPr>
          <w:rFonts w:ascii="Arial" w:hAnsi="Arial" w:cs="Arial"/>
          <w:b/>
          <w:bCs/>
          <w:sz w:val="24"/>
          <w:szCs w:val="24"/>
        </w:rPr>
        <w:t>DATE PUBLISHED: 14 MAY 2021</w:t>
      </w:r>
    </w:p>
    <w:p w:rsidR="0099780F" w:rsidRDefault="0099780F" w:rsidP="001B3EB2">
      <w:pPr>
        <w:autoSpaceDE w:val="0"/>
        <w:autoSpaceDN w:val="0"/>
        <w:adjustRightInd w:val="0"/>
        <w:spacing w:line="360" w:lineRule="auto"/>
        <w:ind w:left="567" w:hanging="567"/>
        <w:jc w:val="both"/>
        <w:rPr>
          <w:rFonts w:ascii="Arial" w:hAnsi="Arial" w:cs="Arial"/>
          <w:b/>
          <w:bCs/>
        </w:rPr>
      </w:pPr>
    </w:p>
    <w:p w:rsidR="0099780F" w:rsidRPr="0099780F" w:rsidRDefault="0099780F" w:rsidP="001B3EB2">
      <w:pPr>
        <w:spacing w:after="0" w:line="360" w:lineRule="auto"/>
        <w:ind w:left="567" w:hanging="567"/>
        <w:jc w:val="both"/>
        <w:outlineLvl w:val="0"/>
        <w:rPr>
          <w:rFonts w:ascii="Arial" w:hAnsi="Arial" w:cs="Arial"/>
          <w:b/>
          <w:bCs/>
          <w:sz w:val="24"/>
          <w:szCs w:val="24"/>
        </w:rPr>
      </w:pPr>
      <w:r w:rsidRPr="0099780F">
        <w:rPr>
          <w:rFonts w:ascii="Arial" w:hAnsi="Arial" w:cs="Arial"/>
          <w:b/>
          <w:bCs/>
          <w:sz w:val="24"/>
          <w:szCs w:val="24"/>
        </w:rPr>
        <w:t xml:space="preserve">Mr M J Cuthbert (DA) to ask the Minister of Trade, Industry and Competition: </w:t>
      </w:r>
    </w:p>
    <w:p w:rsidR="0099780F" w:rsidRDefault="0099780F" w:rsidP="00F342C8">
      <w:pPr>
        <w:pStyle w:val="ListParagraph"/>
        <w:numPr>
          <w:ilvl w:val="0"/>
          <w:numId w:val="29"/>
        </w:numPr>
        <w:spacing w:after="0" w:line="360" w:lineRule="auto"/>
        <w:ind w:left="567" w:hanging="567"/>
        <w:jc w:val="both"/>
        <w:outlineLvl w:val="0"/>
        <w:rPr>
          <w:rFonts w:ascii="Arial" w:hAnsi="Arial" w:cs="Arial"/>
          <w:bCs/>
          <w:sz w:val="24"/>
          <w:szCs w:val="24"/>
        </w:rPr>
      </w:pPr>
      <w:r w:rsidRPr="0099780F">
        <w:rPr>
          <w:rFonts w:ascii="Arial" w:hAnsi="Arial" w:cs="Arial"/>
          <w:bCs/>
          <w:sz w:val="24"/>
          <w:szCs w:val="24"/>
        </w:rPr>
        <w:t xml:space="preserve">On what date was the internal report into corruption in the National Lotteries Commission by </w:t>
      </w:r>
      <w:proofErr w:type="spellStart"/>
      <w:r w:rsidRPr="0099780F">
        <w:rPr>
          <w:rFonts w:ascii="Arial" w:hAnsi="Arial" w:cs="Arial"/>
          <w:bCs/>
          <w:sz w:val="24"/>
          <w:szCs w:val="24"/>
        </w:rPr>
        <w:t>Sekela</w:t>
      </w:r>
      <w:proofErr w:type="spellEnd"/>
      <w:r w:rsidRPr="0099780F">
        <w:rPr>
          <w:rFonts w:ascii="Arial" w:hAnsi="Arial" w:cs="Arial"/>
          <w:bCs/>
          <w:sz w:val="24"/>
          <w:szCs w:val="24"/>
        </w:rPr>
        <w:t xml:space="preserve"> </w:t>
      </w:r>
      <w:proofErr w:type="spellStart"/>
      <w:r w:rsidRPr="0099780F">
        <w:rPr>
          <w:rFonts w:ascii="Arial" w:hAnsi="Arial" w:cs="Arial"/>
          <w:bCs/>
          <w:sz w:val="24"/>
          <w:szCs w:val="24"/>
        </w:rPr>
        <w:t>Xabiso</w:t>
      </w:r>
      <w:proofErr w:type="spellEnd"/>
      <w:r w:rsidR="0067120D">
        <w:rPr>
          <w:rFonts w:ascii="Arial" w:hAnsi="Arial" w:cs="Arial"/>
          <w:bCs/>
          <w:sz w:val="24"/>
          <w:szCs w:val="24"/>
        </w:rPr>
        <w:t xml:space="preserve"> audit firm due to be completed;</w:t>
      </w:r>
    </w:p>
    <w:p w:rsidR="000A0442" w:rsidRPr="0099780F" w:rsidRDefault="000A0442" w:rsidP="00F342C8">
      <w:pPr>
        <w:pStyle w:val="ListParagraph"/>
        <w:numPr>
          <w:ilvl w:val="0"/>
          <w:numId w:val="29"/>
        </w:numPr>
        <w:spacing w:after="0" w:line="360" w:lineRule="auto"/>
        <w:ind w:left="567" w:hanging="567"/>
        <w:jc w:val="both"/>
        <w:outlineLvl w:val="0"/>
        <w:rPr>
          <w:rFonts w:ascii="Arial" w:hAnsi="Arial" w:cs="Arial"/>
          <w:bCs/>
          <w:sz w:val="24"/>
          <w:szCs w:val="24"/>
        </w:rPr>
      </w:pPr>
      <w:r w:rsidRPr="0099780F">
        <w:rPr>
          <w:rFonts w:ascii="Arial" w:hAnsi="Arial" w:cs="Arial"/>
          <w:bCs/>
          <w:sz w:val="24"/>
          <w:szCs w:val="24"/>
        </w:rPr>
        <w:t>(a) what are the reasons that the report has not yet been presented to the Portfolio Committee on Trade, Industry and Competition and (b) on what date will the report be prese</w:t>
      </w:r>
      <w:r w:rsidR="0067120D">
        <w:rPr>
          <w:rFonts w:ascii="Arial" w:hAnsi="Arial" w:cs="Arial"/>
          <w:bCs/>
          <w:sz w:val="24"/>
          <w:szCs w:val="24"/>
        </w:rPr>
        <w:t>nted to the specified committee;</w:t>
      </w:r>
    </w:p>
    <w:p w:rsidR="00F342C8" w:rsidRPr="00F342C8" w:rsidRDefault="000A0442" w:rsidP="00F342C8">
      <w:pPr>
        <w:pStyle w:val="ListParagraph"/>
        <w:numPr>
          <w:ilvl w:val="0"/>
          <w:numId w:val="29"/>
        </w:numPr>
        <w:spacing w:after="0" w:line="360" w:lineRule="auto"/>
        <w:ind w:left="567" w:hanging="567"/>
        <w:jc w:val="both"/>
        <w:outlineLvl w:val="0"/>
        <w:rPr>
          <w:rFonts w:ascii="Arial" w:hAnsi="Arial" w:cs="Arial"/>
          <w:bCs/>
          <w:sz w:val="24"/>
          <w:szCs w:val="24"/>
        </w:rPr>
      </w:pPr>
      <w:r w:rsidRPr="0099780F">
        <w:rPr>
          <w:rFonts w:ascii="Arial" w:hAnsi="Arial" w:cs="Arial"/>
          <w:bCs/>
          <w:sz w:val="24"/>
          <w:szCs w:val="24"/>
        </w:rPr>
        <w:t>what amount has been paid to th</w:t>
      </w:r>
      <w:r w:rsidR="0067120D">
        <w:rPr>
          <w:rFonts w:ascii="Arial" w:hAnsi="Arial" w:cs="Arial"/>
          <w:bCs/>
          <w:sz w:val="24"/>
          <w:szCs w:val="24"/>
        </w:rPr>
        <w:t>e specified audit firm thus far;</w:t>
      </w:r>
    </w:p>
    <w:p w:rsidR="00632224" w:rsidRPr="00632224" w:rsidRDefault="00F342C8" w:rsidP="00632224">
      <w:pPr>
        <w:pStyle w:val="ListParagraph"/>
        <w:numPr>
          <w:ilvl w:val="0"/>
          <w:numId w:val="29"/>
        </w:numPr>
        <w:spacing w:after="0" w:line="360" w:lineRule="auto"/>
        <w:ind w:left="567" w:hanging="567"/>
        <w:jc w:val="both"/>
        <w:outlineLvl w:val="0"/>
        <w:rPr>
          <w:rFonts w:ascii="Arial" w:hAnsi="Arial" w:cs="Arial"/>
          <w:bCs/>
          <w:sz w:val="24"/>
          <w:szCs w:val="24"/>
        </w:rPr>
      </w:pPr>
      <w:proofErr w:type="gramStart"/>
      <w:r w:rsidRPr="0099780F">
        <w:rPr>
          <w:rFonts w:ascii="Arial" w:hAnsi="Arial" w:cs="Arial"/>
          <w:bCs/>
          <w:sz w:val="24"/>
          <w:szCs w:val="24"/>
        </w:rPr>
        <w:t>whether</w:t>
      </w:r>
      <w:proofErr w:type="gramEnd"/>
      <w:r w:rsidRPr="0099780F">
        <w:rPr>
          <w:rFonts w:ascii="Arial" w:hAnsi="Arial" w:cs="Arial"/>
          <w:bCs/>
          <w:sz w:val="24"/>
          <w:szCs w:val="24"/>
        </w:rPr>
        <w:t xml:space="preserve"> he will furnish Mr M J Cuthbert with a detailed breakdown of the R36,5</w:t>
      </w:r>
      <w:r>
        <w:rPr>
          <w:rFonts w:ascii="Arial" w:hAnsi="Arial" w:cs="Arial"/>
          <w:bCs/>
          <w:sz w:val="24"/>
          <w:szCs w:val="24"/>
        </w:rPr>
        <w:t xml:space="preserve"> </w:t>
      </w:r>
      <w:r w:rsidRPr="00F342C8">
        <w:rPr>
          <w:rFonts w:ascii="Arial" w:hAnsi="Arial" w:cs="Arial"/>
          <w:bCs/>
          <w:sz w:val="24"/>
          <w:szCs w:val="24"/>
        </w:rPr>
        <w:t>million budgeted for the investigation in question; if not, why not; if so, what are the relevant details?</w:t>
      </w:r>
      <w:r w:rsidR="00632224">
        <w:rPr>
          <w:rFonts w:ascii="Arial" w:hAnsi="Arial" w:cs="Arial"/>
          <w:bCs/>
          <w:sz w:val="24"/>
          <w:szCs w:val="24"/>
        </w:rPr>
        <w:t xml:space="preserve">   </w:t>
      </w:r>
      <w:r w:rsidR="00632224" w:rsidRPr="00632224">
        <w:rPr>
          <w:rFonts w:ascii="Arial" w:hAnsi="Arial" w:cs="Arial"/>
          <w:bCs/>
          <w:sz w:val="24"/>
          <w:szCs w:val="24"/>
        </w:rPr>
        <w:t>[NW1500E]</w:t>
      </w:r>
    </w:p>
    <w:p w:rsidR="001B3EB2" w:rsidRPr="005A0A25" w:rsidRDefault="001B3EB2" w:rsidP="005A0A25">
      <w:pPr>
        <w:spacing w:after="0" w:line="360" w:lineRule="auto"/>
        <w:jc w:val="both"/>
        <w:outlineLvl w:val="0"/>
        <w:rPr>
          <w:rFonts w:ascii="Arial" w:hAnsi="Arial" w:cs="Arial"/>
          <w:bCs/>
          <w:sz w:val="24"/>
          <w:szCs w:val="24"/>
        </w:rPr>
      </w:pPr>
    </w:p>
    <w:p w:rsidR="0099780F" w:rsidRDefault="001B3EB2" w:rsidP="001B3EB2">
      <w:pPr>
        <w:spacing w:after="0" w:line="360" w:lineRule="auto"/>
        <w:jc w:val="both"/>
        <w:outlineLvl w:val="0"/>
        <w:rPr>
          <w:rFonts w:ascii="Arial" w:eastAsia="Times New Roman" w:hAnsi="Arial" w:cs="Arial"/>
          <w:b/>
          <w:bCs/>
          <w:sz w:val="24"/>
          <w:szCs w:val="24"/>
        </w:rPr>
      </w:pPr>
      <w:r>
        <w:rPr>
          <w:rFonts w:ascii="Arial" w:eastAsia="Times New Roman" w:hAnsi="Arial" w:cs="Arial"/>
          <w:b/>
          <w:bCs/>
          <w:sz w:val="24"/>
          <w:szCs w:val="24"/>
        </w:rPr>
        <w:t>RE</w:t>
      </w:r>
      <w:r w:rsidR="000F68B8">
        <w:rPr>
          <w:rFonts w:ascii="Arial" w:eastAsia="Times New Roman" w:hAnsi="Arial" w:cs="Arial"/>
          <w:b/>
          <w:bCs/>
          <w:sz w:val="24"/>
          <w:szCs w:val="24"/>
        </w:rPr>
        <w:t>PLY</w:t>
      </w:r>
    </w:p>
    <w:p w:rsidR="000F68B8" w:rsidRPr="0099780F" w:rsidRDefault="000F68B8" w:rsidP="001B3EB2">
      <w:pPr>
        <w:spacing w:after="0" w:line="360" w:lineRule="auto"/>
        <w:jc w:val="both"/>
        <w:outlineLvl w:val="0"/>
        <w:rPr>
          <w:rFonts w:ascii="Arial" w:eastAsia="Times New Roman" w:hAnsi="Arial" w:cs="Arial"/>
          <w:b/>
          <w:bCs/>
          <w:sz w:val="24"/>
          <w:szCs w:val="24"/>
        </w:rPr>
      </w:pPr>
    </w:p>
    <w:p w:rsidR="000F68B8" w:rsidRDefault="00672FA7" w:rsidP="000F68B8">
      <w:pPr>
        <w:spacing w:after="0" w:line="276" w:lineRule="auto"/>
        <w:jc w:val="both"/>
        <w:rPr>
          <w:rFonts w:ascii="Arial" w:eastAsia="Times New Roman" w:hAnsi="Arial" w:cs="Arial"/>
          <w:bCs/>
          <w:sz w:val="24"/>
          <w:szCs w:val="24"/>
          <w:lang w:val="en-US"/>
        </w:rPr>
      </w:pPr>
      <w:r w:rsidRPr="000F68B8">
        <w:rPr>
          <w:rFonts w:ascii="Arial" w:hAnsi="Arial" w:cs="Arial"/>
          <w:bCs/>
          <w:sz w:val="24"/>
          <w:szCs w:val="24"/>
          <w:lang w:val="en-GB"/>
        </w:rPr>
        <w:t>The Department of Trade, Industry and Competition (</w:t>
      </w:r>
      <w:r w:rsidRPr="000F68B8">
        <w:rPr>
          <w:rFonts w:ascii="Arial" w:hAnsi="Arial" w:cs="Arial"/>
          <w:b/>
          <w:bCs/>
          <w:sz w:val="24"/>
          <w:szCs w:val="24"/>
          <w:lang w:val="en-GB"/>
        </w:rPr>
        <w:t xml:space="preserve">the </w:t>
      </w:r>
      <w:proofErr w:type="spellStart"/>
      <w:r w:rsidRPr="000F68B8">
        <w:rPr>
          <w:rFonts w:ascii="Arial" w:hAnsi="Arial" w:cs="Arial"/>
          <w:b/>
          <w:bCs/>
          <w:sz w:val="24"/>
          <w:szCs w:val="24"/>
          <w:lang w:val="en-GB"/>
        </w:rPr>
        <w:t>dtic</w:t>
      </w:r>
      <w:proofErr w:type="spellEnd"/>
      <w:r w:rsidRPr="000F68B8">
        <w:rPr>
          <w:rFonts w:ascii="Arial" w:hAnsi="Arial" w:cs="Arial"/>
          <w:bCs/>
          <w:sz w:val="24"/>
          <w:szCs w:val="24"/>
          <w:lang w:val="en-GB"/>
        </w:rPr>
        <w:t xml:space="preserve">) did not appoint </w:t>
      </w:r>
      <w:proofErr w:type="spellStart"/>
      <w:r w:rsidRPr="000F68B8">
        <w:rPr>
          <w:rFonts w:ascii="Arial" w:hAnsi="Arial" w:cs="Arial"/>
          <w:bCs/>
          <w:sz w:val="24"/>
          <w:szCs w:val="24"/>
          <w:lang w:val="en-GB"/>
        </w:rPr>
        <w:t>Sekela</w:t>
      </w:r>
      <w:proofErr w:type="spellEnd"/>
      <w:r w:rsidRPr="000F68B8">
        <w:rPr>
          <w:rFonts w:ascii="Arial" w:hAnsi="Arial" w:cs="Arial"/>
          <w:bCs/>
          <w:sz w:val="24"/>
          <w:szCs w:val="24"/>
          <w:lang w:val="en-GB"/>
        </w:rPr>
        <w:t xml:space="preserve"> </w:t>
      </w:r>
      <w:proofErr w:type="spellStart"/>
      <w:r w:rsidRPr="000F68B8">
        <w:rPr>
          <w:rFonts w:ascii="Arial" w:hAnsi="Arial" w:cs="Arial"/>
          <w:bCs/>
          <w:sz w:val="24"/>
          <w:szCs w:val="24"/>
          <w:lang w:val="en-GB"/>
        </w:rPr>
        <w:t>Xabiso</w:t>
      </w:r>
      <w:proofErr w:type="spellEnd"/>
      <w:r w:rsidRPr="000F68B8">
        <w:rPr>
          <w:rFonts w:ascii="Arial" w:hAnsi="Arial" w:cs="Arial"/>
          <w:bCs/>
          <w:sz w:val="24"/>
          <w:szCs w:val="24"/>
          <w:lang w:val="en-GB"/>
        </w:rPr>
        <w:t xml:space="preserve"> to conduct an investigation.  The company was appointed by the NLC and attached herewith is the response from the NLC regarding the matter.</w:t>
      </w:r>
      <w:r w:rsidR="000F68B8" w:rsidRPr="000F68B8">
        <w:rPr>
          <w:rFonts w:ascii="Arial" w:eastAsia="Times New Roman" w:hAnsi="Arial" w:cs="Arial"/>
          <w:bCs/>
          <w:sz w:val="24"/>
          <w:szCs w:val="24"/>
          <w:lang w:val="en-US"/>
        </w:rPr>
        <w:t xml:space="preserve"> </w:t>
      </w:r>
      <w:r w:rsidR="000F68B8">
        <w:rPr>
          <w:rFonts w:ascii="Arial" w:eastAsia="Times New Roman" w:hAnsi="Arial" w:cs="Arial"/>
          <w:bCs/>
          <w:sz w:val="24"/>
          <w:szCs w:val="24"/>
          <w:lang w:val="en-US"/>
        </w:rPr>
        <w:t>Below is the</w:t>
      </w:r>
      <w:r w:rsidR="000F68B8" w:rsidRPr="00DB0FB3">
        <w:rPr>
          <w:rFonts w:ascii="Arial" w:eastAsia="Times New Roman" w:hAnsi="Arial" w:cs="Arial"/>
          <w:bCs/>
          <w:sz w:val="24"/>
          <w:szCs w:val="24"/>
          <w:lang w:val="en-US"/>
        </w:rPr>
        <w:t xml:space="preserve"> reply to the question</w:t>
      </w:r>
      <w:r w:rsidR="000F68B8">
        <w:rPr>
          <w:rFonts w:ascii="Arial" w:eastAsia="Times New Roman" w:hAnsi="Arial" w:cs="Arial"/>
          <w:bCs/>
          <w:sz w:val="24"/>
          <w:szCs w:val="24"/>
          <w:lang w:val="en-US"/>
        </w:rPr>
        <w:t>,</w:t>
      </w:r>
      <w:r w:rsidR="000F68B8" w:rsidRPr="00DB0FB3">
        <w:rPr>
          <w:rFonts w:ascii="Arial" w:eastAsia="Times New Roman" w:hAnsi="Arial" w:cs="Arial"/>
          <w:bCs/>
          <w:sz w:val="24"/>
          <w:szCs w:val="24"/>
          <w:lang w:val="en-US"/>
        </w:rPr>
        <w:t xml:space="preserve"> submitted by Ms </w:t>
      </w:r>
      <w:proofErr w:type="spellStart"/>
      <w:r w:rsidR="000F68B8" w:rsidRPr="00DB0FB3">
        <w:rPr>
          <w:rFonts w:ascii="Arial" w:eastAsia="Times New Roman" w:hAnsi="Arial" w:cs="Arial"/>
          <w:bCs/>
          <w:sz w:val="24"/>
          <w:szCs w:val="24"/>
          <w:lang w:val="en-US"/>
        </w:rPr>
        <w:t>Thabang</w:t>
      </w:r>
      <w:proofErr w:type="spellEnd"/>
      <w:r w:rsidR="000F68B8" w:rsidRPr="00DB0FB3">
        <w:rPr>
          <w:rFonts w:ascii="Arial" w:eastAsia="Times New Roman" w:hAnsi="Arial" w:cs="Arial"/>
          <w:bCs/>
          <w:sz w:val="24"/>
          <w:szCs w:val="24"/>
          <w:lang w:val="en-US"/>
        </w:rPr>
        <w:t xml:space="preserve"> </w:t>
      </w:r>
      <w:proofErr w:type="spellStart"/>
      <w:r w:rsidR="000F68B8" w:rsidRPr="00DB0FB3">
        <w:rPr>
          <w:rFonts w:ascii="Arial" w:eastAsia="Times New Roman" w:hAnsi="Arial" w:cs="Arial"/>
          <w:bCs/>
          <w:sz w:val="24"/>
          <w:szCs w:val="24"/>
          <w:lang w:val="en-US"/>
        </w:rPr>
        <w:t>Mampane</w:t>
      </w:r>
      <w:proofErr w:type="spellEnd"/>
      <w:r w:rsidR="000F68B8" w:rsidRPr="00DB0FB3">
        <w:rPr>
          <w:rFonts w:ascii="Arial" w:eastAsia="Times New Roman" w:hAnsi="Arial" w:cs="Arial"/>
          <w:bCs/>
          <w:sz w:val="24"/>
          <w:szCs w:val="24"/>
          <w:lang w:val="en-US"/>
        </w:rPr>
        <w:t>, Commissioner of the National Lotteries Commission</w:t>
      </w:r>
      <w:r w:rsidR="000F68B8">
        <w:rPr>
          <w:rFonts w:ascii="Arial" w:eastAsia="Times New Roman" w:hAnsi="Arial" w:cs="Arial"/>
          <w:bCs/>
          <w:sz w:val="24"/>
          <w:szCs w:val="24"/>
          <w:lang w:val="en-US"/>
        </w:rPr>
        <w:t>.</w:t>
      </w:r>
    </w:p>
    <w:p w:rsidR="000F68B8" w:rsidRDefault="000F68B8" w:rsidP="000F68B8">
      <w:pPr>
        <w:spacing w:after="0" w:line="360" w:lineRule="auto"/>
        <w:jc w:val="both"/>
        <w:rPr>
          <w:rFonts w:ascii="Arial" w:hAnsi="Arial" w:cs="Arial"/>
          <w:bCs/>
          <w:sz w:val="24"/>
          <w:szCs w:val="24"/>
          <w:lang w:val="en-GB"/>
        </w:rPr>
      </w:pPr>
    </w:p>
    <w:p w:rsidR="000F68B8" w:rsidRPr="000F68B8" w:rsidRDefault="000F68B8" w:rsidP="000F68B8">
      <w:pPr>
        <w:spacing w:after="0" w:line="360" w:lineRule="auto"/>
        <w:jc w:val="both"/>
        <w:rPr>
          <w:rFonts w:ascii="Arial" w:hAnsi="Arial" w:cs="Arial"/>
          <w:bCs/>
          <w:sz w:val="24"/>
          <w:szCs w:val="24"/>
          <w:lang w:val="en-GB"/>
        </w:rPr>
      </w:pPr>
    </w:p>
    <w:p w:rsidR="000A0442" w:rsidRPr="000F68B8" w:rsidRDefault="000F68B8" w:rsidP="000F68B8">
      <w:pPr>
        <w:pStyle w:val="ListParagraph"/>
        <w:numPr>
          <w:ilvl w:val="0"/>
          <w:numId w:val="30"/>
        </w:numPr>
        <w:spacing w:after="0" w:line="360" w:lineRule="auto"/>
        <w:ind w:left="567" w:hanging="567"/>
        <w:jc w:val="both"/>
        <w:rPr>
          <w:rFonts w:ascii="Arial" w:hAnsi="Arial" w:cs="Arial"/>
          <w:bCs/>
          <w:sz w:val="24"/>
          <w:szCs w:val="24"/>
          <w:lang w:val="en-GB"/>
        </w:rPr>
      </w:pPr>
      <w:r>
        <w:rPr>
          <w:rFonts w:ascii="Arial" w:hAnsi="Arial" w:cs="Arial"/>
          <w:bCs/>
          <w:sz w:val="24"/>
          <w:szCs w:val="24"/>
        </w:rPr>
        <w:t>“</w:t>
      </w:r>
      <w:r w:rsidR="0099780F" w:rsidRPr="000F68B8">
        <w:rPr>
          <w:rFonts w:ascii="Arial" w:hAnsi="Arial" w:cs="Arial"/>
          <w:bCs/>
          <w:sz w:val="24"/>
          <w:szCs w:val="24"/>
        </w:rPr>
        <w:t xml:space="preserve">The Board of the NLC initiated the investigation by offering members of the public an unrestricted platform to report any acts of wrongdoing, corruption or fraud through the appointed independent audit firm and to provide all evidence, notwithstanding those matters previously independently investigated and </w:t>
      </w:r>
      <w:r w:rsidR="0099780F" w:rsidRPr="000F68B8">
        <w:rPr>
          <w:rFonts w:ascii="Arial" w:hAnsi="Arial" w:cs="Arial"/>
          <w:bCs/>
          <w:sz w:val="24"/>
          <w:szCs w:val="24"/>
        </w:rPr>
        <w:lastRenderedPageBreak/>
        <w:t xml:space="preserve">concluded. The investigation was expected to be concluded by end of May 2020; however, the due date fell within the period of the Level 5 hard lockdown. Thus due to </w:t>
      </w:r>
      <w:r w:rsidR="000A0442" w:rsidRPr="000F68B8">
        <w:rPr>
          <w:rFonts w:ascii="Arial" w:hAnsi="Arial" w:cs="Arial"/>
          <w:bCs/>
          <w:sz w:val="24"/>
          <w:szCs w:val="24"/>
        </w:rPr>
        <w:t xml:space="preserve">COVID-19 </w:t>
      </w:r>
      <w:r w:rsidR="0099780F" w:rsidRPr="000F68B8">
        <w:rPr>
          <w:rFonts w:ascii="Arial" w:hAnsi="Arial" w:cs="Arial"/>
          <w:bCs/>
          <w:sz w:val="24"/>
          <w:szCs w:val="24"/>
        </w:rPr>
        <w:t>restrictions, the inability to travel to conduct site visits and/or verification of infrastructure projects, the voluminous matters to be investigated and many other factors that led to a delay in the work of the audit firm gaining momentum the initial conclusion date was not met as anticipated.</w:t>
      </w:r>
    </w:p>
    <w:p w:rsidR="000A0442" w:rsidRPr="000A0442" w:rsidRDefault="000A0442" w:rsidP="000A0442">
      <w:pPr>
        <w:pStyle w:val="ListParagraph"/>
        <w:spacing w:after="0" w:line="360" w:lineRule="auto"/>
        <w:ind w:left="567"/>
        <w:jc w:val="both"/>
        <w:outlineLvl w:val="0"/>
        <w:rPr>
          <w:rFonts w:ascii="Arial" w:eastAsiaTheme="minorEastAsia" w:hAnsi="Arial" w:cs="Arial"/>
          <w:bCs/>
          <w:sz w:val="24"/>
          <w:szCs w:val="24"/>
        </w:rPr>
      </w:pPr>
    </w:p>
    <w:p w:rsidR="00F342C8" w:rsidRPr="00F342C8" w:rsidRDefault="0099780F" w:rsidP="00F342C8">
      <w:pPr>
        <w:pStyle w:val="ListParagraph"/>
        <w:numPr>
          <w:ilvl w:val="0"/>
          <w:numId w:val="30"/>
        </w:numPr>
        <w:spacing w:after="0" w:line="360" w:lineRule="auto"/>
        <w:ind w:left="567" w:hanging="567"/>
        <w:jc w:val="both"/>
        <w:outlineLvl w:val="0"/>
        <w:rPr>
          <w:rFonts w:ascii="Arial" w:eastAsiaTheme="minorEastAsia" w:hAnsi="Arial" w:cs="Arial"/>
          <w:bCs/>
          <w:sz w:val="24"/>
          <w:szCs w:val="24"/>
        </w:rPr>
      </w:pPr>
      <w:r w:rsidRPr="000A0442">
        <w:rPr>
          <w:rFonts w:ascii="Arial" w:hAnsi="Arial" w:cs="Arial"/>
          <w:bCs/>
          <w:sz w:val="24"/>
          <w:szCs w:val="24"/>
        </w:rPr>
        <w:t xml:space="preserve">The investigation process is underway and final outcomes of the investigation pending. The Board will make available the final outcomes of the investigation upon conclusion and adoption by the Board, as previously undertaken to the Portfolio Committee. </w:t>
      </w:r>
    </w:p>
    <w:p w:rsidR="00F342C8" w:rsidRPr="00F342C8" w:rsidRDefault="00F342C8" w:rsidP="00F342C8">
      <w:pPr>
        <w:spacing w:after="0" w:line="360" w:lineRule="auto"/>
        <w:jc w:val="both"/>
        <w:outlineLvl w:val="0"/>
        <w:rPr>
          <w:rFonts w:ascii="Arial" w:eastAsiaTheme="minorEastAsia" w:hAnsi="Arial" w:cs="Arial"/>
          <w:bCs/>
          <w:sz w:val="24"/>
          <w:szCs w:val="24"/>
        </w:rPr>
      </w:pPr>
    </w:p>
    <w:p w:rsidR="005A0A25" w:rsidRPr="005A0A25" w:rsidRDefault="0099780F" w:rsidP="005A0A25">
      <w:pPr>
        <w:pStyle w:val="ListParagraph"/>
        <w:numPr>
          <w:ilvl w:val="0"/>
          <w:numId w:val="30"/>
        </w:numPr>
        <w:spacing w:after="0" w:line="360" w:lineRule="auto"/>
        <w:ind w:left="567" w:hanging="567"/>
        <w:jc w:val="both"/>
        <w:outlineLvl w:val="0"/>
        <w:rPr>
          <w:rFonts w:ascii="Arial" w:eastAsiaTheme="minorEastAsia" w:hAnsi="Arial" w:cs="Arial"/>
          <w:bCs/>
          <w:sz w:val="24"/>
          <w:szCs w:val="24"/>
        </w:rPr>
      </w:pPr>
      <w:r w:rsidRPr="00F342C8">
        <w:rPr>
          <w:rFonts w:ascii="Arial" w:hAnsi="Arial" w:cs="Arial"/>
          <w:bCs/>
          <w:sz w:val="24"/>
          <w:szCs w:val="24"/>
        </w:rPr>
        <w:t>T</w:t>
      </w:r>
      <w:r w:rsidR="00E02EE5">
        <w:rPr>
          <w:rFonts w:ascii="Arial" w:hAnsi="Arial" w:cs="Arial"/>
          <w:bCs/>
          <w:sz w:val="24"/>
          <w:szCs w:val="24"/>
        </w:rPr>
        <w:t>he</w:t>
      </w:r>
      <w:r w:rsidRPr="00F342C8">
        <w:rPr>
          <w:rFonts w:ascii="Arial" w:hAnsi="Arial" w:cs="Arial"/>
          <w:bCs/>
          <w:sz w:val="24"/>
          <w:szCs w:val="24"/>
        </w:rPr>
        <w:t xml:space="preserve"> total cost of </w:t>
      </w:r>
      <w:r w:rsidR="00672FA7">
        <w:rPr>
          <w:rFonts w:ascii="Arial" w:hAnsi="Arial" w:cs="Arial"/>
          <w:bCs/>
          <w:sz w:val="24"/>
          <w:szCs w:val="24"/>
        </w:rPr>
        <w:t xml:space="preserve">the </w:t>
      </w:r>
      <w:r w:rsidRPr="00F342C8">
        <w:rPr>
          <w:rFonts w:ascii="Arial" w:hAnsi="Arial" w:cs="Arial"/>
          <w:bCs/>
          <w:sz w:val="24"/>
          <w:szCs w:val="24"/>
        </w:rPr>
        <w:t xml:space="preserve">investigation to date is </w:t>
      </w:r>
      <w:r w:rsidRPr="00F342C8">
        <w:rPr>
          <w:rFonts w:ascii="Arial" w:hAnsi="Arial" w:cs="Arial"/>
          <w:b/>
          <w:sz w:val="24"/>
          <w:szCs w:val="24"/>
        </w:rPr>
        <w:t>R9</w:t>
      </w:r>
      <w:proofErr w:type="gramStart"/>
      <w:r w:rsidRPr="00F342C8">
        <w:rPr>
          <w:rFonts w:ascii="Arial" w:hAnsi="Arial" w:cs="Arial"/>
          <w:b/>
          <w:sz w:val="24"/>
          <w:szCs w:val="24"/>
        </w:rPr>
        <w:t>,657,867.10</w:t>
      </w:r>
      <w:proofErr w:type="gramEnd"/>
      <w:r w:rsidRPr="00F342C8">
        <w:rPr>
          <w:rFonts w:ascii="Arial" w:hAnsi="Arial" w:cs="Arial"/>
          <w:b/>
          <w:sz w:val="24"/>
          <w:szCs w:val="24"/>
        </w:rPr>
        <w:t>.</w:t>
      </w:r>
    </w:p>
    <w:p w:rsidR="005A0A25" w:rsidRPr="005A0A25" w:rsidRDefault="005A0A25" w:rsidP="005A0A25">
      <w:pPr>
        <w:pStyle w:val="ListParagraph"/>
        <w:rPr>
          <w:rFonts w:ascii="Arial" w:eastAsia="Times New Roman" w:hAnsi="Arial" w:cs="Arial"/>
          <w:sz w:val="24"/>
          <w:szCs w:val="24"/>
        </w:rPr>
      </w:pPr>
    </w:p>
    <w:p w:rsidR="0099780F" w:rsidRPr="005A0A25" w:rsidRDefault="0099780F" w:rsidP="005A0A25">
      <w:pPr>
        <w:pStyle w:val="ListParagraph"/>
        <w:numPr>
          <w:ilvl w:val="0"/>
          <w:numId w:val="30"/>
        </w:numPr>
        <w:spacing w:after="0" w:line="360" w:lineRule="auto"/>
        <w:ind w:left="567" w:hanging="567"/>
        <w:jc w:val="both"/>
        <w:outlineLvl w:val="0"/>
        <w:rPr>
          <w:rFonts w:ascii="Arial" w:eastAsiaTheme="minorEastAsia" w:hAnsi="Arial" w:cs="Arial"/>
          <w:bCs/>
          <w:sz w:val="24"/>
          <w:szCs w:val="24"/>
        </w:rPr>
      </w:pPr>
      <w:r w:rsidRPr="005A0A25">
        <w:rPr>
          <w:rFonts w:ascii="Arial" w:eastAsia="Times New Roman" w:hAnsi="Arial" w:cs="Arial"/>
          <w:sz w:val="24"/>
          <w:szCs w:val="24"/>
        </w:rPr>
        <w:t>In responding to the question, extract of NLC’s response provided on PQ</w:t>
      </w:r>
      <w:r w:rsidR="005A0A25">
        <w:rPr>
          <w:rFonts w:ascii="Arial" w:eastAsia="Times New Roman" w:hAnsi="Arial" w:cs="Arial"/>
          <w:sz w:val="24"/>
          <w:szCs w:val="24"/>
        </w:rPr>
        <w:t xml:space="preserve"> </w:t>
      </w:r>
      <w:r w:rsidRPr="005A0A25">
        <w:rPr>
          <w:rFonts w:ascii="Arial" w:eastAsia="Times New Roman" w:hAnsi="Arial" w:cs="Arial"/>
          <w:sz w:val="24"/>
          <w:szCs w:val="24"/>
        </w:rPr>
        <w:t>695 bears reference.</w:t>
      </w:r>
    </w:p>
    <w:p w:rsidR="005A0A25" w:rsidRDefault="005A0A25" w:rsidP="005A0A25">
      <w:pPr>
        <w:tabs>
          <w:tab w:val="left" w:pos="567"/>
          <w:tab w:val="left" w:pos="1890"/>
        </w:tabs>
        <w:spacing w:after="0" w:line="360" w:lineRule="auto"/>
        <w:ind w:left="567"/>
        <w:jc w:val="both"/>
        <w:outlineLvl w:val="0"/>
        <w:rPr>
          <w:rFonts w:ascii="Arial" w:eastAsia="Times New Roman" w:hAnsi="Arial" w:cs="Arial"/>
          <w:i/>
          <w:iCs/>
          <w:sz w:val="24"/>
          <w:szCs w:val="24"/>
        </w:rPr>
      </w:pPr>
    </w:p>
    <w:p w:rsidR="0099780F" w:rsidRPr="0099780F" w:rsidRDefault="005A0A25" w:rsidP="005A0A25">
      <w:pPr>
        <w:tabs>
          <w:tab w:val="left" w:pos="567"/>
          <w:tab w:val="left" w:pos="1890"/>
        </w:tabs>
        <w:spacing w:after="0" w:line="360" w:lineRule="auto"/>
        <w:jc w:val="both"/>
        <w:outlineLvl w:val="0"/>
        <w:rPr>
          <w:rFonts w:ascii="Arial" w:eastAsia="Times New Roman" w:hAnsi="Arial" w:cs="Arial"/>
          <w:i/>
          <w:iCs/>
          <w:sz w:val="24"/>
          <w:szCs w:val="24"/>
        </w:rPr>
      </w:pPr>
      <w:r>
        <w:rPr>
          <w:rFonts w:ascii="Arial" w:eastAsia="Times New Roman" w:hAnsi="Arial" w:cs="Arial"/>
          <w:i/>
          <w:iCs/>
          <w:sz w:val="24"/>
          <w:szCs w:val="24"/>
        </w:rPr>
        <w:tab/>
      </w:r>
      <w:r w:rsidR="0099780F" w:rsidRPr="0099780F">
        <w:rPr>
          <w:rFonts w:ascii="Arial" w:eastAsia="Times New Roman" w:hAnsi="Arial" w:cs="Arial"/>
          <w:i/>
          <w:iCs/>
          <w:sz w:val="24"/>
          <w:szCs w:val="24"/>
        </w:rPr>
        <w:t>Extract of PQ</w:t>
      </w:r>
      <w:r>
        <w:rPr>
          <w:rFonts w:ascii="Arial" w:eastAsia="Times New Roman" w:hAnsi="Arial" w:cs="Arial"/>
          <w:i/>
          <w:iCs/>
          <w:sz w:val="24"/>
          <w:szCs w:val="24"/>
        </w:rPr>
        <w:t xml:space="preserve"> </w:t>
      </w:r>
      <w:r w:rsidR="0099780F" w:rsidRPr="0099780F">
        <w:rPr>
          <w:rFonts w:ascii="Arial" w:eastAsia="Times New Roman" w:hAnsi="Arial" w:cs="Arial"/>
          <w:i/>
          <w:iCs/>
          <w:sz w:val="24"/>
          <w:szCs w:val="24"/>
        </w:rPr>
        <w:t xml:space="preserve">695 </w:t>
      </w:r>
    </w:p>
    <w:p w:rsidR="0099780F" w:rsidRPr="0099780F" w:rsidRDefault="0099780F" w:rsidP="001B3EB2">
      <w:pPr>
        <w:spacing w:after="0" w:line="360" w:lineRule="auto"/>
        <w:ind w:left="1710" w:hanging="720"/>
        <w:jc w:val="both"/>
        <w:outlineLvl w:val="0"/>
        <w:rPr>
          <w:rFonts w:ascii="Arial" w:eastAsia="Times New Roman" w:hAnsi="Arial" w:cs="Arial"/>
          <w:sz w:val="24"/>
          <w:szCs w:val="24"/>
        </w:rPr>
      </w:pPr>
      <w:r w:rsidRPr="0099780F">
        <w:rPr>
          <w:rFonts w:ascii="Arial" w:hAnsi="Arial" w:cs="Arial"/>
          <w:noProof/>
          <w:sz w:val="24"/>
          <w:szCs w:val="24"/>
          <w:lang w:eastAsia="en-ZA"/>
        </w:rPr>
        <w:drawing>
          <wp:inline distT="0" distB="0" distL="0" distR="0">
            <wp:extent cx="50196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9675" cy="1333500"/>
                    </a:xfrm>
                    <a:prstGeom prst="rect">
                      <a:avLst/>
                    </a:prstGeom>
                    <a:noFill/>
                    <a:ln>
                      <a:noFill/>
                    </a:ln>
                  </pic:spPr>
                </pic:pic>
              </a:graphicData>
            </a:graphic>
          </wp:inline>
        </w:drawing>
      </w:r>
    </w:p>
    <w:p w:rsidR="005A0A25" w:rsidRDefault="005A0A25" w:rsidP="005A0A25">
      <w:pPr>
        <w:spacing w:after="0" w:line="360" w:lineRule="auto"/>
        <w:ind w:left="567"/>
        <w:jc w:val="both"/>
        <w:rPr>
          <w:rFonts w:ascii="Arial" w:hAnsi="Arial" w:cs="Arial"/>
          <w:sz w:val="24"/>
          <w:szCs w:val="24"/>
        </w:rPr>
      </w:pPr>
    </w:p>
    <w:p w:rsidR="0099780F" w:rsidRPr="0099780F" w:rsidRDefault="0099780F" w:rsidP="005A0A25">
      <w:pPr>
        <w:spacing w:after="0" w:line="360" w:lineRule="auto"/>
        <w:ind w:left="567"/>
        <w:jc w:val="both"/>
        <w:rPr>
          <w:rFonts w:ascii="Arial" w:eastAsiaTheme="minorEastAsia" w:hAnsi="Arial" w:cs="Arial"/>
          <w:sz w:val="24"/>
          <w:szCs w:val="24"/>
        </w:rPr>
      </w:pPr>
      <w:r w:rsidRPr="0099780F">
        <w:rPr>
          <w:rFonts w:ascii="Arial" w:hAnsi="Arial" w:cs="Arial"/>
          <w:sz w:val="24"/>
          <w:szCs w:val="24"/>
        </w:rPr>
        <w:t xml:space="preserve">The National Lotteries Commission is required to fulfil its mandate and ensure that the Commission performs its functions efficiently and effectively in compliance with the Lotteries Act and any other applicable law.  The budget spend over the past three financial years to ensure that the NLC  provides guidance and support to the Board whilst applying the principles of openness and transparency to advise the Minister on the efficacy of legislation pertaining to lotteries and ancillary matters, exercise its power to institute legal proceedings in order to properly discharge its functions and responsibilities and approach any court for any order the board deems appropriate for effective regulation and enforcement of the Lotteries Act is detailed below. The rapid increase of the Legal and Investigations budget over the </w:t>
      </w:r>
      <w:r w:rsidRPr="0099780F">
        <w:rPr>
          <w:rFonts w:ascii="Arial" w:hAnsi="Arial" w:cs="Arial"/>
          <w:sz w:val="24"/>
          <w:szCs w:val="24"/>
        </w:rPr>
        <w:lastRenderedPageBreak/>
        <w:t>past three years is attributed to independent investigations as a result of increased media exposure and enforcement of the Third National Lotteries Licence, pursuant to ensuring that the National Lottery and Sport Pools are conducted with all due propriety and strictly in accordance with the Constitution, the Act, all other applicable law.</w:t>
      </w:r>
    </w:p>
    <w:p w:rsidR="005A0A25" w:rsidRDefault="005A0A25" w:rsidP="00954C65">
      <w:pPr>
        <w:spacing w:after="0" w:line="360" w:lineRule="auto"/>
        <w:jc w:val="both"/>
        <w:rPr>
          <w:rFonts w:ascii="Arial" w:hAnsi="Arial" w:cs="Arial"/>
          <w:sz w:val="24"/>
          <w:szCs w:val="24"/>
        </w:rPr>
      </w:pPr>
    </w:p>
    <w:p w:rsidR="0099780F" w:rsidRPr="0099780F" w:rsidRDefault="0099780F" w:rsidP="005A0A25">
      <w:pPr>
        <w:spacing w:after="0" w:line="360" w:lineRule="auto"/>
        <w:ind w:left="567"/>
        <w:jc w:val="both"/>
        <w:rPr>
          <w:rFonts w:ascii="Arial" w:hAnsi="Arial" w:cs="Arial"/>
          <w:sz w:val="24"/>
          <w:szCs w:val="24"/>
        </w:rPr>
      </w:pPr>
      <w:r w:rsidRPr="0099780F">
        <w:rPr>
          <w:rFonts w:ascii="Arial" w:hAnsi="Arial" w:cs="Arial"/>
          <w:sz w:val="24"/>
          <w:szCs w:val="24"/>
        </w:rPr>
        <w:t xml:space="preserve">The </w:t>
      </w:r>
      <w:r w:rsidRPr="0099780F">
        <w:rPr>
          <w:rFonts w:ascii="Arial" w:hAnsi="Arial" w:cs="Arial"/>
          <w:b/>
          <w:bCs/>
          <w:sz w:val="24"/>
          <w:szCs w:val="24"/>
          <w:u w:val="single"/>
        </w:rPr>
        <w:t>total</w:t>
      </w:r>
      <w:r w:rsidRPr="0099780F">
        <w:rPr>
          <w:rFonts w:ascii="Arial" w:hAnsi="Arial" w:cs="Arial"/>
          <w:sz w:val="24"/>
          <w:szCs w:val="24"/>
        </w:rPr>
        <w:t xml:space="preserve"> budget allocated for </w:t>
      </w:r>
      <w:r w:rsidRPr="0099780F">
        <w:rPr>
          <w:rFonts w:ascii="Arial" w:hAnsi="Arial" w:cs="Arial"/>
          <w:b/>
          <w:bCs/>
          <w:sz w:val="24"/>
          <w:szCs w:val="24"/>
          <w:u w:val="single"/>
        </w:rPr>
        <w:t>Legal &amp; Investigations Division</w:t>
      </w:r>
      <w:r w:rsidRPr="0099780F">
        <w:rPr>
          <w:rFonts w:ascii="Arial" w:hAnsi="Arial" w:cs="Arial"/>
          <w:sz w:val="24"/>
          <w:szCs w:val="24"/>
        </w:rPr>
        <w:t xml:space="preserve"> was R36 500 000.00, being </w:t>
      </w:r>
      <w:r w:rsidRPr="0099780F">
        <w:rPr>
          <w:rFonts w:ascii="Arial" w:hAnsi="Arial" w:cs="Arial"/>
          <w:b/>
          <w:bCs/>
          <w:sz w:val="24"/>
          <w:szCs w:val="24"/>
        </w:rPr>
        <w:t>2%</w:t>
      </w:r>
      <w:r w:rsidRPr="0099780F">
        <w:rPr>
          <w:rFonts w:ascii="Arial" w:hAnsi="Arial" w:cs="Arial"/>
          <w:sz w:val="24"/>
          <w:szCs w:val="24"/>
        </w:rPr>
        <w:t xml:space="preserve"> of its National Lotteries Commission’s total expenditure including Grant Allocations.</w:t>
      </w:r>
      <w:r w:rsidR="000F68B8">
        <w:rPr>
          <w:rFonts w:ascii="Arial" w:hAnsi="Arial" w:cs="Arial"/>
          <w:sz w:val="24"/>
          <w:szCs w:val="24"/>
        </w:rPr>
        <w:t>”</w:t>
      </w:r>
    </w:p>
    <w:p w:rsidR="0099780F" w:rsidRPr="0099780F" w:rsidRDefault="0099780F" w:rsidP="004056BF">
      <w:pPr>
        <w:spacing w:after="0" w:line="360" w:lineRule="auto"/>
        <w:jc w:val="both"/>
        <w:rPr>
          <w:rFonts w:ascii="Arial" w:hAnsi="Arial" w:cs="Arial"/>
          <w:sz w:val="24"/>
          <w:szCs w:val="24"/>
        </w:rPr>
      </w:pPr>
    </w:p>
    <w:p w:rsidR="00BB36A7" w:rsidRDefault="00BB36A7" w:rsidP="005A0A25">
      <w:pPr>
        <w:spacing w:after="0" w:line="360" w:lineRule="auto"/>
        <w:rPr>
          <w:rFonts w:ascii="Arial" w:hAnsi="Arial" w:cs="Arial"/>
          <w:b/>
          <w:bCs/>
          <w:sz w:val="24"/>
          <w:szCs w:val="24"/>
        </w:rPr>
      </w:pPr>
    </w:p>
    <w:p w:rsidR="00F8578A" w:rsidRDefault="00F8578A" w:rsidP="00F8578A">
      <w:pPr>
        <w:spacing w:after="0" w:line="276" w:lineRule="auto"/>
        <w:contextualSpacing/>
        <w:jc w:val="center"/>
        <w:rPr>
          <w:rFonts w:ascii="Arial" w:hAnsi="Arial" w:cs="Arial"/>
          <w:b/>
          <w:bCs/>
          <w:sz w:val="24"/>
          <w:szCs w:val="24"/>
        </w:rPr>
      </w:pPr>
      <w:r>
        <w:rPr>
          <w:rFonts w:ascii="Arial" w:hAnsi="Arial" w:cs="Arial"/>
          <w:b/>
          <w:bCs/>
          <w:sz w:val="24"/>
          <w:szCs w:val="24"/>
        </w:rPr>
        <w:t>-E</w:t>
      </w:r>
      <w:bookmarkStart w:id="0" w:name="_GoBack"/>
      <w:bookmarkEnd w:id="0"/>
      <w:r>
        <w:rPr>
          <w:rFonts w:ascii="Arial" w:hAnsi="Arial" w:cs="Arial"/>
          <w:b/>
          <w:bCs/>
          <w:sz w:val="24"/>
          <w:szCs w:val="24"/>
        </w:rPr>
        <w:t>ND-</w:t>
      </w:r>
    </w:p>
    <w:p w:rsidR="00F8578A" w:rsidRDefault="00F8578A" w:rsidP="000F68B8">
      <w:pPr>
        <w:spacing w:after="0" w:line="276" w:lineRule="auto"/>
        <w:contextualSpacing/>
        <w:jc w:val="both"/>
        <w:rPr>
          <w:rFonts w:ascii="Arial" w:hAnsi="Arial" w:cs="Arial"/>
          <w:b/>
          <w:bCs/>
          <w:sz w:val="24"/>
          <w:szCs w:val="24"/>
        </w:rPr>
      </w:pPr>
    </w:p>
    <w:sectPr w:rsidR="00F8578A" w:rsidSect="00F3392B">
      <w:headerReference w:type="default" r:id="rId10"/>
      <w:footerReference w:type="default" r:id="rId11"/>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55" w:rsidRDefault="009E7855" w:rsidP="006D054B">
      <w:pPr>
        <w:spacing w:after="0" w:line="240" w:lineRule="auto"/>
      </w:pPr>
      <w:r>
        <w:separator/>
      </w:r>
    </w:p>
  </w:endnote>
  <w:endnote w:type="continuationSeparator" w:id="0">
    <w:p w:rsidR="009E7855" w:rsidRDefault="009E7855"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B57D11">
        <w:pPr>
          <w:pStyle w:val="Footer"/>
          <w:jc w:val="center"/>
        </w:pPr>
        <w:r>
          <w:fldChar w:fldCharType="begin"/>
        </w:r>
        <w:r w:rsidR="00C90387">
          <w:instrText xml:space="preserve"> PAGE   \* MERGEFORMAT </w:instrText>
        </w:r>
        <w:r>
          <w:fldChar w:fldCharType="separate"/>
        </w:r>
        <w:r w:rsidR="001D2129">
          <w:rPr>
            <w:noProof/>
          </w:rPr>
          <w:t>1</w:t>
        </w:r>
        <w:r>
          <w:rPr>
            <w:noProof/>
          </w:rPr>
          <w:fldChar w:fldCharType="end"/>
        </w:r>
      </w:p>
    </w:sdtContent>
  </w:sdt>
  <w:p w:rsidR="00C90387" w:rsidRDefault="00B70823" w:rsidP="00C90387">
    <w:pPr>
      <w:pStyle w:val="Footer"/>
      <w:jc w:val="center"/>
    </w:pPr>
    <w:r>
      <w:t>Parliamentary Question</w:t>
    </w:r>
    <w:r w:rsidR="005A0A25">
      <w:t>: NA PQ 1306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55" w:rsidRDefault="009E7855" w:rsidP="006D054B">
      <w:pPr>
        <w:spacing w:after="0" w:line="240" w:lineRule="auto"/>
      </w:pPr>
      <w:r>
        <w:separator/>
      </w:r>
    </w:p>
  </w:footnote>
  <w:footnote w:type="continuationSeparator" w:id="0">
    <w:p w:rsidR="009E7855" w:rsidRDefault="009E7855"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4B47E6"/>
    <w:multiLevelType w:val="hybridMultilevel"/>
    <w:tmpl w:val="2B3E64B8"/>
    <w:lvl w:ilvl="0" w:tplc="60C280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30FBF"/>
    <w:multiLevelType w:val="hybridMultilevel"/>
    <w:tmpl w:val="608EAA24"/>
    <w:lvl w:ilvl="0" w:tplc="60C280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6E262B5"/>
    <w:multiLevelType w:val="hybridMultilevel"/>
    <w:tmpl w:val="82DA596C"/>
    <w:lvl w:ilvl="0" w:tplc="60C280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8369C"/>
    <w:multiLevelType w:val="hybridMultilevel"/>
    <w:tmpl w:val="7E3C26EA"/>
    <w:lvl w:ilvl="0" w:tplc="C4547922">
      <w:start w:val="1"/>
      <w:numFmt w:val="decimal"/>
      <w:lvlText w:val="(%1)"/>
      <w:lvlJc w:val="left"/>
      <w:pPr>
        <w:ind w:left="1440" w:hanging="360"/>
      </w:pPr>
      <w:rPr>
        <w:rFonts w:eastAsiaTheme="minorHAnsi"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9">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F8B478A"/>
    <w:multiLevelType w:val="hybridMultilevel"/>
    <w:tmpl w:val="DF263018"/>
    <w:lvl w:ilvl="0" w:tplc="60C280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28"/>
  </w:num>
  <w:num w:numId="3">
    <w:abstractNumId w:val="19"/>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9"/>
  </w:num>
  <w:num w:numId="7">
    <w:abstractNumId w:val="6"/>
  </w:num>
  <w:num w:numId="8">
    <w:abstractNumId w:val="23"/>
  </w:num>
  <w:num w:numId="9">
    <w:abstractNumId w:val="18"/>
  </w:num>
  <w:num w:numId="10">
    <w:abstractNumId w:val="0"/>
  </w:num>
  <w:num w:numId="11">
    <w:abstractNumId w:val="15"/>
  </w:num>
  <w:num w:numId="12">
    <w:abstractNumId w:val="20"/>
  </w:num>
  <w:num w:numId="13">
    <w:abstractNumId w:val="27"/>
  </w:num>
  <w:num w:numId="14">
    <w:abstractNumId w:val="13"/>
  </w:num>
  <w:num w:numId="15">
    <w:abstractNumId w:val="2"/>
  </w:num>
  <w:num w:numId="16">
    <w:abstractNumId w:val="14"/>
  </w:num>
  <w:num w:numId="17">
    <w:abstractNumId w:val="22"/>
  </w:num>
  <w:num w:numId="18">
    <w:abstractNumId w:val="17"/>
  </w:num>
  <w:num w:numId="19">
    <w:abstractNumId w:val="21"/>
  </w:num>
  <w:num w:numId="20">
    <w:abstractNumId w:val="1"/>
  </w:num>
  <w:num w:numId="21">
    <w:abstractNumId w:val="24"/>
  </w:num>
  <w:num w:numId="22">
    <w:abstractNumId w:val="12"/>
  </w:num>
  <w:num w:numId="23">
    <w:abstractNumId w:val="16"/>
  </w:num>
  <w:num w:numId="24">
    <w:abstractNumId w:val="10"/>
  </w:num>
  <w:num w:numId="25">
    <w:abstractNumId w:val="11"/>
  </w:num>
  <w:num w:numId="26">
    <w:abstractNumId w:val="4"/>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3"/>
  </w:num>
  <w:num w:numId="32">
    <w:abstractNumId w:val="30"/>
  </w:num>
  <w:num w:numId="33">
    <w:abstractNumId w:val="5"/>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41805"/>
    <w:rsid w:val="00046D78"/>
    <w:rsid w:val="0006536D"/>
    <w:rsid w:val="00071E10"/>
    <w:rsid w:val="000856A2"/>
    <w:rsid w:val="000A0442"/>
    <w:rsid w:val="000B0517"/>
    <w:rsid w:val="000B2DB1"/>
    <w:rsid w:val="000C4638"/>
    <w:rsid w:val="000D3BB4"/>
    <w:rsid w:val="000D608B"/>
    <w:rsid w:val="000F68B8"/>
    <w:rsid w:val="00130895"/>
    <w:rsid w:val="00143A2F"/>
    <w:rsid w:val="0016019E"/>
    <w:rsid w:val="001602E3"/>
    <w:rsid w:val="00172E12"/>
    <w:rsid w:val="00176749"/>
    <w:rsid w:val="00182352"/>
    <w:rsid w:val="001877AA"/>
    <w:rsid w:val="0019258D"/>
    <w:rsid w:val="00197D18"/>
    <w:rsid w:val="001A33E4"/>
    <w:rsid w:val="001B3EB2"/>
    <w:rsid w:val="001D2129"/>
    <w:rsid w:val="001F18A3"/>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301F58"/>
    <w:rsid w:val="0031644A"/>
    <w:rsid w:val="00332C21"/>
    <w:rsid w:val="00351BDA"/>
    <w:rsid w:val="003632E6"/>
    <w:rsid w:val="00383F6C"/>
    <w:rsid w:val="00385BF1"/>
    <w:rsid w:val="003A3726"/>
    <w:rsid w:val="003B2450"/>
    <w:rsid w:val="003C5DAD"/>
    <w:rsid w:val="003D6475"/>
    <w:rsid w:val="00402C36"/>
    <w:rsid w:val="00405055"/>
    <w:rsid w:val="004056BF"/>
    <w:rsid w:val="00414059"/>
    <w:rsid w:val="00414E30"/>
    <w:rsid w:val="00431C51"/>
    <w:rsid w:val="00437E8B"/>
    <w:rsid w:val="004469F4"/>
    <w:rsid w:val="00484CF4"/>
    <w:rsid w:val="00493614"/>
    <w:rsid w:val="0049513B"/>
    <w:rsid w:val="004B2BE0"/>
    <w:rsid w:val="004C432F"/>
    <w:rsid w:val="004C4978"/>
    <w:rsid w:val="004D0F02"/>
    <w:rsid w:val="004E2E71"/>
    <w:rsid w:val="004F429F"/>
    <w:rsid w:val="004F6E62"/>
    <w:rsid w:val="0051724E"/>
    <w:rsid w:val="00522CB2"/>
    <w:rsid w:val="00526B52"/>
    <w:rsid w:val="00532838"/>
    <w:rsid w:val="005401FB"/>
    <w:rsid w:val="00546254"/>
    <w:rsid w:val="0054791A"/>
    <w:rsid w:val="005624DD"/>
    <w:rsid w:val="00567F57"/>
    <w:rsid w:val="00570148"/>
    <w:rsid w:val="00575A3A"/>
    <w:rsid w:val="00597203"/>
    <w:rsid w:val="005A0A25"/>
    <w:rsid w:val="005A5FEE"/>
    <w:rsid w:val="005C3727"/>
    <w:rsid w:val="005D3B6A"/>
    <w:rsid w:val="005E30FD"/>
    <w:rsid w:val="00622A03"/>
    <w:rsid w:val="00632224"/>
    <w:rsid w:val="00640078"/>
    <w:rsid w:val="006420D0"/>
    <w:rsid w:val="006445D1"/>
    <w:rsid w:val="00645F45"/>
    <w:rsid w:val="0067120D"/>
    <w:rsid w:val="00672FA7"/>
    <w:rsid w:val="006847A1"/>
    <w:rsid w:val="006932B2"/>
    <w:rsid w:val="00694349"/>
    <w:rsid w:val="006B0FE2"/>
    <w:rsid w:val="006B1132"/>
    <w:rsid w:val="006C6F31"/>
    <w:rsid w:val="006D054B"/>
    <w:rsid w:val="006E5CFB"/>
    <w:rsid w:val="00707C88"/>
    <w:rsid w:val="0072078E"/>
    <w:rsid w:val="00737F4D"/>
    <w:rsid w:val="007477F1"/>
    <w:rsid w:val="00761225"/>
    <w:rsid w:val="0078637F"/>
    <w:rsid w:val="00792751"/>
    <w:rsid w:val="007B14C3"/>
    <w:rsid w:val="007B412F"/>
    <w:rsid w:val="007B7DA8"/>
    <w:rsid w:val="007D1596"/>
    <w:rsid w:val="007D1D58"/>
    <w:rsid w:val="007D2A4F"/>
    <w:rsid w:val="00803209"/>
    <w:rsid w:val="00833E81"/>
    <w:rsid w:val="00841350"/>
    <w:rsid w:val="008430C0"/>
    <w:rsid w:val="008528EA"/>
    <w:rsid w:val="00853BDC"/>
    <w:rsid w:val="00855ABA"/>
    <w:rsid w:val="008634FA"/>
    <w:rsid w:val="00892467"/>
    <w:rsid w:val="00894F69"/>
    <w:rsid w:val="008A796E"/>
    <w:rsid w:val="008C5E93"/>
    <w:rsid w:val="008D06C0"/>
    <w:rsid w:val="00911828"/>
    <w:rsid w:val="00916351"/>
    <w:rsid w:val="0093226B"/>
    <w:rsid w:val="00936D98"/>
    <w:rsid w:val="009433BE"/>
    <w:rsid w:val="0094388C"/>
    <w:rsid w:val="00954C65"/>
    <w:rsid w:val="00962A53"/>
    <w:rsid w:val="009644E4"/>
    <w:rsid w:val="00970287"/>
    <w:rsid w:val="0099215A"/>
    <w:rsid w:val="0099780F"/>
    <w:rsid w:val="009A0FF0"/>
    <w:rsid w:val="009C3E7C"/>
    <w:rsid w:val="009D6756"/>
    <w:rsid w:val="009D6C77"/>
    <w:rsid w:val="009E7855"/>
    <w:rsid w:val="009F3102"/>
    <w:rsid w:val="009F4DA1"/>
    <w:rsid w:val="00A01A30"/>
    <w:rsid w:val="00A1169C"/>
    <w:rsid w:val="00A1795F"/>
    <w:rsid w:val="00A21156"/>
    <w:rsid w:val="00A46E81"/>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736F"/>
    <w:rsid w:val="00B04589"/>
    <w:rsid w:val="00B15912"/>
    <w:rsid w:val="00B16B07"/>
    <w:rsid w:val="00B2231A"/>
    <w:rsid w:val="00B236EF"/>
    <w:rsid w:val="00B263F6"/>
    <w:rsid w:val="00B3142A"/>
    <w:rsid w:val="00B43F0E"/>
    <w:rsid w:val="00B536E7"/>
    <w:rsid w:val="00B54A00"/>
    <w:rsid w:val="00B55CFF"/>
    <w:rsid w:val="00B57D11"/>
    <w:rsid w:val="00B61B07"/>
    <w:rsid w:val="00B66060"/>
    <w:rsid w:val="00B66578"/>
    <w:rsid w:val="00B70823"/>
    <w:rsid w:val="00B77AE5"/>
    <w:rsid w:val="00B9157F"/>
    <w:rsid w:val="00BA3106"/>
    <w:rsid w:val="00BA3DD8"/>
    <w:rsid w:val="00BB36A7"/>
    <w:rsid w:val="00BB497F"/>
    <w:rsid w:val="00BB62D5"/>
    <w:rsid w:val="00BB7E85"/>
    <w:rsid w:val="00BC607B"/>
    <w:rsid w:val="00C02FFC"/>
    <w:rsid w:val="00C0398D"/>
    <w:rsid w:val="00C05717"/>
    <w:rsid w:val="00C07922"/>
    <w:rsid w:val="00C1754E"/>
    <w:rsid w:val="00C23C1E"/>
    <w:rsid w:val="00C26949"/>
    <w:rsid w:val="00C4613A"/>
    <w:rsid w:val="00C56886"/>
    <w:rsid w:val="00C60F52"/>
    <w:rsid w:val="00C638B4"/>
    <w:rsid w:val="00C71BF9"/>
    <w:rsid w:val="00C84F7E"/>
    <w:rsid w:val="00C8544C"/>
    <w:rsid w:val="00C85DD8"/>
    <w:rsid w:val="00C90387"/>
    <w:rsid w:val="00C9270E"/>
    <w:rsid w:val="00CC0725"/>
    <w:rsid w:val="00CC7044"/>
    <w:rsid w:val="00D3539F"/>
    <w:rsid w:val="00D37942"/>
    <w:rsid w:val="00D410C1"/>
    <w:rsid w:val="00D462DD"/>
    <w:rsid w:val="00D52868"/>
    <w:rsid w:val="00D66290"/>
    <w:rsid w:val="00D722D0"/>
    <w:rsid w:val="00D75E12"/>
    <w:rsid w:val="00D81223"/>
    <w:rsid w:val="00D906CA"/>
    <w:rsid w:val="00D93BDC"/>
    <w:rsid w:val="00D95D80"/>
    <w:rsid w:val="00D97348"/>
    <w:rsid w:val="00DD063F"/>
    <w:rsid w:val="00DE45A5"/>
    <w:rsid w:val="00DE4BB9"/>
    <w:rsid w:val="00E02EE5"/>
    <w:rsid w:val="00E44BAD"/>
    <w:rsid w:val="00E554C9"/>
    <w:rsid w:val="00E6096E"/>
    <w:rsid w:val="00E846E6"/>
    <w:rsid w:val="00E900D5"/>
    <w:rsid w:val="00EA2BA8"/>
    <w:rsid w:val="00EA5109"/>
    <w:rsid w:val="00EA6E2E"/>
    <w:rsid w:val="00EE05BB"/>
    <w:rsid w:val="00EE6E0C"/>
    <w:rsid w:val="00EF6351"/>
    <w:rsid w:val="00F04A3B"/>
    <w:rsid w:val="00F065DF"/>
    <w:rsid w:val="00F15796"/>
    <w:rsid w:val="00F32232"/>
    <w:rsid w:val="00F3392B"/>
    <w:rsid w:val="00F342C8"/>
    <w:rsid w:val="00F51CB8"/>
    <w:rsid w:val="00F5321D"/>
    <w:rsid w:val="00F55E3D"/>
    <w:rsid w:val="00F671DD"/>
    <w:rsid w:val="00F716B6"/>
    <w:rsid w:val="00F8074E"/>
    <w:rsid w:val="00F8578A"/>
    <w:rsid w:val="00F9020F"/>
    <w:rsid w:val="00FB765E"/>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45398603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E1991-7BE7-43EF-9789-9040A606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3170</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vt:lpstr>THE NATIONAL ASSEMBLY</vt:lpstr>
      <vt:lpstr/>
      <vt:lpstr>QUESTION FOR WRITTEN REPLY</vt:lpstr>
      <vt:lpstr/>
      <vt:lpstr>QUESTION NO. 1306	</vt:lpstr>
      <vt:lpstr>DATE PUBLISHED: 14 MAY 2021</vt:lpstr>
      <vt:lpstr>Mr M J Cuthbert (DA) to ask the Minister of Trade, Industry and Competition: </vt:lpstr>
      <vt:lpstr>On what date was the internal report into corruption in the National Lotteries C</vt:lpstr>
      <vt:lpstr>(a) what are the reasons that the report has not yet been presented to the Portf</vt:lpstr>
      <vt:lpstr>what amount has been paid to the specified audit firm thus far;</vt:lpstr>
      <vt:lpstr>whether he will furnish Mr M J Cuthbert with a detailed breakdown of the R36,5 m</vt:lpstr>
      <vt:lpstr/>
      <vt:lpstr>REPLY</vt:lpstr>
      <vt:lpstr/>
      <vt:lpstr/>
      <vt:lpstr>The investigation process is underway and final outcomes of the investigation pe</vt:lpstr>
      <vt:lpstr/>
      <vt:lpstr>The total cost of the investigation to date is R9,657,867.10.</vt:lpstr>
      <vt:lpstr>In responding to the question, extract of NLC’s response provided on PQ 695 bear</vt:lpstr>
      <vt:lpstr/>
      <vt:lpstr>Extract of PQ 695 </vt:lpstr>
      <vt:lpstr>/</vt:lpstr>
    </vt:vector>
  </TitlesOfParts>
  <Company>Toshiba</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2021-06-09T11:11:00Z</dcterms:created>
  <dcterms:modified xsi:type="dcterms:W3CDTF">2021-06-09T11:11:00Z</dcterms:modified>
</cp:coreProperties>
</file>