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7E2827">
        <w:rPr>
          <w:b/>
          <w:bCs/>
          <w:sz w:val="24"/>
          <w:u w:val="single"/>
        </w:rPr>
        <w:t>30</w:t>
      </w:r>
      <w:r w:rsidR="001C1165">
        <w:rPr>
          <w:b/>
          <w:bCs/>
          <w:sz w:val="24"/>
          <w:u w:val="single"/>
        </w:rPr>
        <w:t>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2B10C3">
        <w:rPr>
          <w:b/>
          <w:bCs/>
          <w:sz w:val="24"/>
          <w:u w:val="single"/>
        </w:rPr>
        <w:t>1</w:t>
      </w:r>
      <w:r w:rsidR="00B81F03">
        <w:rPr>
          <w:b/>
          <w:bCs/>
          <w:sz w:val="24"/>
          <w:u w:val="single"/>
        </w:rPr>
        <w:t>9</w:t>
      </w:r>
      <w:r w:rsidR="006C19F1">
        <w:rPr>
          <w:b/>
          <w:bCs/>
          <w:sz w:val="24"/>
          <w:u w:val="single"/>
        </w:rPr>
        <w:t xml:space="preserve"> JUNE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6B6D53" w:rsidRDefault="00E238C2" w:rsidP="006B6D53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B10C3">
        <w:rPr>
          <w:b/>
          <w:bCs/>
          <w:sz w:val="24"/>
          <w:u w:val="single"/>
        </w:rPr>
        <w:t>2</w:t>
      </w:r>
      <w:r w:rsidR="00B81F03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1C1165" w:rsidRPr="001C1165" w:rsidRDefault="001C1165" w:rsidP="001C1165">
      <w:pPr>
        <w:spacing w:before="100" w:beforeAutospacing="1" w:after="100" w:afterAutospacing="1"/>
        <w:ind w:left="709" w:hanging="709"/>
        <w:jc w:val="both"/>
        <w:rPr>
          <w:b/>
          <w:sz w:val="24"/>
          <w:u w:val="single"/>
        </w:rPr>
      </w:pPr>
      <w:r w:rsidRPr="001C1165">
        <w:rPr>
          <w:b/>
          <w:sz w:val="24"/>
          <w:u w:val="single"/>
        </w:rPr>
        <w:t>Ms H Ismail (DA) to ask the Minister of Health</w:t>
      </w:r>
      <w:r w:rsidRPr="001C1165">
        <w:rPr>
          <w:b/>
          <w:sz w:val="24"/>
          <w:u w:val="single"/>
        </w:rPr>
        <w:fldChar w:fldCharType="begin"/>
      </w:r>
      <w:r w:rsidRPr="001C1165">
        <w:rPr>
          <w:sz w:val="24"/>
          <w:u w:val="single"/>
        </w:rPr>
        <w:instrText xml:space="preserve"> XE "</w:instrText>
      </w:r>
      <w:r w:rsidRPr="001C1165">
        <w:rPr>
          <w:b/>
          <w:sz w:val="24"/>
          <w:u w:val="single"/>
        </w:rPr>
        <w:instrText>Health</w:instrText>
      </w:r>
      <w:r w:rsidRPr="001C1165">
        <w:rPr>
          <w:sz w:val="24"/>
          <w:u w:val="single"/>
        </w:rPr>
        <w:instrText xml:space="preserve">" </w:instrText>
      </w:r>
      <w:r w:rsidRPr="001C1165">
        <w:rPr>
          <w:b/>
          <w:sz w:val="24"/>
          <w:u w:val="single"/>
        </w:rPr>
        <w:fldChar w:fldCharType="end"/>
      </w:r>
      <w:r w:rsidRPr="001C1165">
        <w:rPr>
          <w:b/>
          <w:sz w:val="24"/>
          <w:u w:val="single"/>
        </w:rPr>
        <w:t>:</w:t>
      </w:r>
    </w:p>
    <w:p w:rsidR="00786C98" w:rsidRPr="001C1165" w:rsidRDefault="001C1165" w:rsidP="001C1165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sz w:val="24"/>
          <w:szCs w:val="24"/>
        </w:rPr>
      </w:pPr>
      <w:r w:rsidRPr="001C1165">
        <w:rPr>
          <w:sz w:val="24"/>
          <w:szCs w:val="24"/>
        </w:rPr>
        <w:t>What number of persons who are infected with (a) HIV/Aids and/or (b) tuberculosis have (i) been tested for the severe acute respiratory syndrome coronavirus 2 and (ii) passed away as a result of contracting Covid-19 in each provinc</w:t>
      </w:r>
      <w:r>
        <w:rPr>
          <w:sz w:val="24"/>
          <w:szCs w:val="24"/>
        </w:rPr>
        <w:t>e since 5 March 2020?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17AC3">
        <w:rPr>
          <w:color w:val="000000"/>
        </w:rPr>
        <w:t>1</w:t>
      </w:r>
      <w:r w:rsidR="001C1165">
        <w:rPr>
          <w:color w:val="000000"/>
        </w:rPr>
        <w:t>673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0F347F" w:rsidRDefault="000F347F" w:rsidP="000F347F">
      <w:pPr>
        <w:ind w:left="1418" w:hanging="1418"/>
        <w:jc w:val="both"/>
        <w:rPr>
          <w:sz w:val="24"/>
          <w:lang w:val="en-US"/>
        </w:rPr>
      </w:pPr>
    </w:p>
    <w:p w:rsidR="00161566" w:rsidRDefault="00161566" w:rsidP="00161566">
      <w:pPr>
        <w:pStyle w:val="ListParagraph"/>
        <w:numPr>
          <w:ilvl w:val="0"/>
          <w:numId w:val="7"/>
        </w:numPr>
        <w:tabs>
          <w:tab w:val="left" w:pos="567"/>
        </w:tabs>
        <w:ind w:left="1418" w:hanging="1418"/>
        <w:rPr>
          <w:sz w:val="24"/>
          <w:lang w:val="en-US"/>
        </w:rPr>
      </w:pPr>
      <w:r w:rsidRPr="00161566">
        <w:rPr>
          <w:sz w:val="24"/>
          <w:lang w:val="en-US"/>
        </w:rPr>
        <w:t>(i)-(ii)</w:t>
      </w:r>
      <w:r w:rsidRPr="00161566">
        <w:rPr>
          <w:sz w:val="24"/>
          <w:lang w:val="en-US"/>
        </w:rPr>
        <w:tab/>
        <w:t xml:space="preserve">A total of 897 persons that had COVID-19, were HIV positive and hospitalised as at 21 June 2020. Of these 757 (85%) made a full recovery, whist 140 (15%) died. Refer to table below for the provincial breakdown. </w:t>
      </w:r>
    </w:p>
    <w:p w:rsidR="00161566" w:rsidRPr="00161566" w:rsidRDefault="00161566" w:rsidP="00161566">
      <w:pPr>
        <w:pStyle w:val="ListParagraph"/>
        <w:tabs>
          <w:tab w:val="left" w:pos="567"/>
        </w:tabs>
        <w:ind w:left="1418"/>
        <w:rPr>
          <w:sz w:val="24"/>
          <w:lang w:val="en-US"/>
        </w:rPr>
      </w:pPr>
    </w:p>
    <w:tbl>
      <w:tblPr>
        <w:tblW w:w="893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1701"/>
        <w:gridCol w:w="1701"/>
        <w:gridCol w:w="1276"/>
      </w:tblGrid>
      <w:tr w:rsidR="00161566" w:rsidRPr="00EF20F2" w:rsidTr="00EF20F2">
        <w:trPr>
          <w:trHeight w:val="580"/>
        </w:trPr>
        <w:tc>
          <w:tcPr>
            <w:tcW w:w="2268" w:type="dxa"/>
            <w:shd w:val="clear" w:color="auto" w:fill="auto"/>
            <w:noWrap/>
            <w:hideMark/>
          </w:tcPr>
          <w:p w:rsidR="00161566" w:rsidRPr="00EF20F2" w:rsidRDefault="00161566" w:rsidP="00896C35">
            <w:pPr>
              <w:rPr>
                <w:rFonts w:cs="Calibri"/>
                <w:b/>
                <w:bCs/>
                <w:color w:val="000000"/>
                <w:szCs w:val="22"/>
                <w:lang w:eastAsia="en-ZA"/>
              </w:rPr>
            </w:pPr>
            <w:bookmarkStart w:id="1" w:name="_Hlk43739566"/>
            <w:r w:rsidRPr="00EF20F2">
              <w:rPr>
                <w:rFonts w:cs="Calibri"/>
                <w:b/>
                <w:bCs/>
                <w:color w:val="000000"/>
                <w:szCs w:val="22"/>
                <w:lang w:eastAsia="en-ZA"/>
              </w:rPr>
              <w:t xml:space="preserve">Province         </w:t>
            </w:r>
          </w:p>
        </w:tc>
        <w:tc>
          <w:tcPr>
            <w:tcW w:w="1984" w:type="dxa"/>
            <w:shd w:val="clear" w:color="auto" w:fill="auto"/>
            <w:hideMark/>
          </w:tcPr>
          <w:p w:rsidR="00161566" w:rsidRPr="00EF20F2" w:rsidRDefault="00161566" w:rsidP="00896C35">
            <w:pPr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HIV+ patients who discharged alive/in hospital</w:t>
            </w:r>
          </w:p>
        </w:tc>
        <w:tc>
          <w:tcPr>
            <w:tcW w:w="1701" w:type="dxa"/>
            <w:shd w:val="clear" w:color="auto" w:fill="auto"/>
            <w:hideMark/>
          </w:tcPr>
          <w:p w:rsidR="00161566" w:rsidRPr="00EF20F2" w:rsidRDefault="00161566" w:rsidP="00896C35">
            <w:pPr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HIV+ patients who died</w:t>
            </w:r>
          </w:p>
        </w:tc>
        <w:tc>
          <w:tcPr>
            <w:tcW w:w="1701" w:type="dxa"/>
            <w:shd w:val="clear" w:color="auto" w:fill="auto"/>
            <w:hideMark/>
          </w:tcPr>
          <w:p w:rsidR="00161566" w:rsidRPr="00EF20F2" w:rsidRDefault="00161566" w:rsidP="00896C35">
            <w:pPr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Total HIV+ patients admitted</w:t>
            </w:r>
          </w:p>
        </w:tc>
        <w:tc>
          <w:tcPr>
            <w:tcW w:w="1276" w:type="dxa"/>
            <w:shd w:val="clear" w:color="auto" w:fill="auto"/>
            <w:hideMark/>
          </w:tcPr>
          <w:p w:rsidR="00161566" w:rsidRPr="00EF20F2" w:rsidRDefault="00161566" w:rsidP="00896C35">
            <w:pPr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% deaths among HIV+</w:t>
            </w:r>
          </w:p>
        </w:tc>
      </w:tr>
      <w:tr w:rsidR="00161566" w:rsidRPr="00EF20F2" w:rsidTr="00EF20F2">
        <w:trPr>
          <w:trHeight w:val="29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Eastern Cape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18,6%</w:t>
            </w:r>
          </w:p>
        </w:tc>
      </w:tr>
      <w:tr w:rsidR="00161566" w:rsidRPr="00EF20F2" w:rsidTr="00EF20F2">
        <w:trPr>
          <w:trHeight w:val="29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Free State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7,7%</w:t>
            </w:r>
          </w:p>
        </w:tc>
      </w:tr>
      <w:tr w:rsidR="00161566" w:rsidRPr="00EF20F2" w:rsidTr="00EF20F2">
        <w:trPr>
          <w:trHeight w:val="29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 xml:space="preserve">Gauteng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5,9%</w:t>
            </w:r>
          </w:p>
        </w:tc>
      </w:tr>
      <w:tr w:rsidR="00161566" w:rsidRPr="00EF20F2" w:rsidTr="00EF20F2">
        <w:trPr>
          <w:trHeight w:val="29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KwaZulu-Natal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4,9%</w:t>
            </w:r>
          </w:p>
        </w:tc>
      </w:tr>
      <w:tr w:rsidR="00161566" w:rsidRPr="00EF20F2" w:rsidTr="00EF20F2">
        <w:trPr>
          <w:trHeight w:val="29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Limpopo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0,0%</w:t>
            </w:r>
          </w:p>
        </w:tc>
      </w:tr>
      <w:tr w:rsidR="00161566" w:rsidRPr="00EF20F2" w:rsidTr="00EF20F2">
        <w:trPr>
          <w:trHeight w:val="29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Mpumalanga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0,0%</w:t>
            </w:r>
          </w:p>
        </w:tc>
      </w:tr>
      <w:tr w:rsidR="00161566" w:rsidRPr="00EF20F2" w:rsidTr="00EF20F2">
        <w:trPr>
          <w:trHeight w:val="29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North West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7,4%</w:t>
            </w:r>
          </w:p>
        </w:tc>
      </w:tr>
      <w:tr w:rsidR="00161566" w:rsidRPr="00EF20F2" w:rsidTr="00EF20F2">
        <w:trPr>
          <w:trHeight w:val="29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 xml:space="preserve">Northern Cape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0,0%</w:t>
            </w:r>
          </w:p>
        </w:tc>
      </w:tr>
      <w:tr w:rsidR="00161566" w:rsidRPr="00EF20F2" w:rsidTr="00EF20F2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Western Cape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color w:val="000000"/>
                <w:szCs w:val="22"/>
                <w:lang w:eastAsia="en-ZA"/>
              </w:rPr>
              <w:t>17,3%</w:t>
            </w:r>
          </w:p>
        </w:tc>
      </w:tr>
      <w:tr w:rsidR="00161566" w:rsidRPr="00EF20F2" w:rsidTr="00EF20F2">
        <w:trPr>
          <w:trHeight w:val="29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rPr>
                <w:rFonts w:cs="Calibri"/>
                <w:b/>
                <w:bCs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b/>
                <w:bCs/>
                <w:color w:val="000000"/>
                <w:szCs w:val="22"/>
                <w:lang w:eastAsia="en-ZA"/>
              </w:rPr>
              <w:t>Total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b/>
                <w:bCs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b/>
                <w:bCs/>
                <w:color w:val="000000"/>
                <w:szCs w:val="22"/>
                <w:lang w:eastAsia="en-ZA"/>
              </w:rPr>
              <w:t>757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b/>
                <w:bCs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b/>
                <w:bCs/>
                <w:color w:val="000000"/>
                <w:szCs w:val="22"/>
                <w:lang w:eastAsia="en-ZA"/>
              </w:rPr>
              <w:t>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b/>
                <w:bCs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b/>
                <w:bCs/>
                <w:color w:val="000000"/>
                <w:szCs w:val="22"/>
                <w:lang w:eastAsia="en-ZA"/>
              </w:rPr>
              <w:t>897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1566" w:rsidRPr="00EF20F2" w:rsidRDefault="00161566" w:rsidP="00896C35">
            <w:pPr>
              <w:jc w:val="right"/>
              <w:rPr>
                <w:rFonts w:cs="Calibri"/>
                <w:b/>
                <w:bCs/>
                <w:color w:val="000000"/>
                <w:szCs w:val="22"/>
                <w:lang w:eastAsia="en-ZA"/>
              </w:rPr>
            </w:pPr>
            <w:r w:rsidRPr="00EF20F2">
              <w:rPr>
                <w:rFonts w:cs="Calibri"/>
                <w:b/>
                <w:bCs/>
                <w:color w:val="000000"/>
                <w:szCs w:val="22"/>
                <w:lang w:eastAsia="en-ZA"/>
              </w:rPr>
              <w:t>15,6%</w:t>
            </w:r>
          </w:p>
        </w:tc>
      </w:tr>
      <w:bookmarkEnd w:id="1"/>
    </w:tbl>
    <w:p w:rsidR="00161566" w:rsidRDefault="00161566" w:rsidP="00161566"/>
    <w:p w:rsidR="00EF20F2" w:rsidRPr="00FA3279" w:rsidRDefault="00EF20F2" w:rsidP="00EF20F2">
      <w:pPr>
        <w:tabs>
          <w:tab w:val="left" w:pos="567"/>
        </w:tabs>
        <w:ind w:left="1418" w:hanging="1418"/>
        <w:jc w:val="both"/>
        <w:rPr>
          <w:sz w:val="24"/>
        </w:rPr>
      </w:pPr>
      <w:r>
        <w:rPr>
          <w:sz w:val="24"/>
        </w:rPr>
        <w:t xml:space="preserve">(b) </w:t>
      </w:r>
      <w:r>
        <w:rPr>
          <w:sz w:val="24"/>
        </w:rPr>
        <w:tab/>
        <w:t>(i)-(ii)</w:t>
      </w:r>
      <w:r>
        <w:rPr>
          <w:sz w:val="24"/>
        </w:rPr>
        <w:tab/>
      </w:r>
      <w:r w:rsidRPr="00FA3279">
        <w:rPr>
          <w:sz w:val="24"/>
        </w:rPr>
        <w:t xml:space="preserve">The data reported is available only from hospitals. </w:t>
      </w:r>
      <w:r>
        <w:rPr>
          <w:sz w:val="24"/>
        </w:rPr>
        <w:t xml:space="preserve">These are patients who are referred to the hospitals due to deterioration of their clinical condition or poor response to TB treatment. There were </w:t>
      </w:r>
      <w:r w:rsidRPr="00FA3279">
        <w:rPr>
          <w:sz w:val="24"/>
        </w:rPr>
        <w:t xml:space="preserve">240 patients who </w:t>
      </w:r>
      <w:r>
        <w:rPr>
          <w:sz w:val="24"/>
        </w:rPr>
        <w:t xml:space="preserve">had TB at the time of Covid-19 diagnosis, of these </w:t>
      </w:r>
      <w:r w:rsidRPr="00FA3279">
        <w:rPr>
          <w:sz w:val="24"/>
        </w:rPr>
        <w:t xml:space="preserve">44 died </w:t>
      </w:r>
      <w:r>
        <w:rPr>
          <w:sz w:val="24"/>
        </w:rPr>
        <w:t xml:space="preserve">(18%) </w:t>
      </w:r>
      <w:r w:rsidRPr="00FA3279">
        <w:rPr>
          <w:sz w:val="24"/>
        </w:rPr>
        <w:t>and 196 were discharged alive.</w:t>
      </w:r>
      <w:r>
        <w:rPr>
          <w:sz w:val="24"/>
        </w:rPr>
        <w:t xml:space="preserve"> </w:t>
      </w:r>
    </w:p>
    <w:p w:rsidR="00EF20F2" w:rsidRDefault="00EF20F2" w:rsidP="00EF20F2">
      <w:pPr>
        <w:rPr>
          <w:b/>
          <w:sz w:val="24"/>
        </w:rPr>
      </w:pPr>
    </w:p>
    <w:tbl>
      <w:tblPr>
        <w:tblW w:w="8930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134"/>
        <w:gridCol w:w="2551"/>
        <w:gridCol w:w="1418"/>
        <w:gridCol w:w="1984"/>
      </w:tblGrid>
      <w:tr w:rsidR="00EF20F2" w:rsidRPr="007F7A30" w:rsidTr="00EF20F2">
        <w:trPr>
          <w:trHeight w:val="555"/>
        </w:trPr>
        <w:tc>
          <w:tcPr>
            <w:tcW w:w="1843" w:type="dxa"/>
            <w:noWrap/>
            <w:hideMark/>
          </w:tcPr>
          <w:p w:rsidR="00EF20F2" w:rsidRPr="007F7A30" w:rsidRDefault="00EF20F2" w:rsidP="003E33E9">
            <w:pPr>
              <w:rPr>
                <w:b/>
                <w:bCs/>
                <w:color w:val="000000"/>
              </w:rPr>
            </w:pPr>
            <w:r w:rsidRPr="007F7A30">
              <w:rPr>
                <w:b/>
                <w:bCs/>
                <w:color w:val="000000"/>
              </w:rPr>
              <w:t xml:space="preserve">Province         </w:t>
            </w:r>
          </w:p>
        </w:tc>
        <w:tc>
          <w:tcPr>
            <w:tcW w:w="1134" w:type="dxa"/>
          </w:tcPr>
          <w:p w:rsidR="00EF20F2" w:rsidRPr="007F7A30" w:rsidRDefault="00EF20F2" w:rsidP="00EF20F2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Total admitted</w:t>
            </w:r>
          </w:p>
        </w:tc>
        <w:tc>
          <w:tcPr>
            <w:tcW w:w="2551" w:type="dxa"/>
            <w:hideMark/>
          </w:tcPr>
          <w:p w:rsidR="00EF20F2" w:rsidRPr="007F7A30" w:rsidRDefault="00EF20F2" w:rsidP="00EF20F2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T</w:t>
            </w:r>
            <w:r>
              <w:rPr>
                <w:color w:val="000000"/>
              </w:rPr>
              <w:t>otal dis</w:t>
            </w:r>
            <w:r w:rsidRPr="007F7A30">
              <w:rPr>
                <w:color w:val="000000"/>
              </w:rPr>
              <w:t>charged alive/in hospital</w:t>
            </w:r>
          </w:p>
        </w:tc>
        <w:tc>
          <w:tcPr>
            <w:tcW w:w="1418" w:type="dxa"/>
            <w:hideMark/>
          </w:tcPr>
          <w:p w:rsidR="00EF20F2" w:rsidRPr="007F7A30" w:rsidRDefault="00EF20F2" w:rsidP="00EF20F2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otal </w:t>
            </w:r>
            <w:r w:rsidRPr="007F7A30">
              <w:rPr>
                <w:color w:val="000000"/>
              </w:rPr>
              <w:t>who died</w:t>
            </w:r>
          </w:p>
        </w:tc>
        <w:tc>
          <w:tcPr>
            <w:tcW w:w="1984" w:type="dxa"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Percentage on deaths</w:t>
            </w:r>
          </w:p>
        </w:tc>
      </w:tr>
      <w:tr w:rsidR="00EF20F2" w:rsidRPr="007F7A30" w:rsidTr="00EF20F2">
        <w:trPr>
          <w:trHeight w:val="300"/>
        </w:trPr>
        <w:tc>
          <w:tcPr>
            <w:tcW w:w="1843" w:type="dxa"/>
            <w:noWrap/>
            <w:hideMark/>
          </w:tcPr>
          <w:p w:rsidR="00EF20F2" w:rsidRPr="007F7A30" w:rsidRDefault="00EF20F2" w:rsidP="003E33E9">
            <w:pPr>
              <w:rPr>
                <w:color w:val="000000"/>
              </w:rPr>
            </w:pPr>
            <w:r w:rsidRPr="007F7A30">
              <w:rPr>
                <w:color w:val="000000"/>
              </w:rPr>
              <w:t>Western Cape</w:t>
            </w:r>
          </w:p>
        </w:tc>
        <w:tc>
          <w:tcPr>
            <w:tcW w:w="1134" w:type="dxa"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199</w:t>
            </w:r>
          </w:p>
        </w:tc>
        <w:tc>
          <w:tcPr>
            <w:tcW w:w="2551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162</w:t>
            </w:r>
          </w:p>
        </w:tc>
        <w:tc>
          <w:tcPr>
            <w:tcW w:w="1418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37</w:t>
            </w:r>
          </w:p>
        </w:tc>
        <w:tc>
          <w:tcPr>
            <w:tcW w:w="1984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18,6%</w:t>
            </w:r>
          </w:p>
        </w:tc>
      </w:tr>
      <w:tr w:rsidR="00EF20F2" w:rsidRPr="007F7A30" w:rsidTr="00EF20F2">
        <w:trPr>
          <w:trHeight w:val="300"/>
        </w:trPr>
        <w:tc>
          <w:tcPr>
            <w:tcW w:w="1843" w:type="dxa"/>
            <w:noWrap/>
            <w:hideMark/>
          </w:tcPr>
          <w:p w:rsidR="00EF20F2" w:rsidRPr="007F7A30" w:rsidRDefault="00EF20F2" w:rsidP="003E33E9">
            <w:pPr>
              <w:rPr>
                <w:color w:val="000000"/>
              </w:rPr>
            </w:pPr>
            <w:r w:rsidRPr="007F7A30">
              <w:rPr>
                <w:color w:val="000000"/>
              </w:rPr>
              <w:t>Eastern Cape</w:t>
            </w:r>
          </w:p>
        </w:tc>
        <w:tc>
          <w:tcPr>
            <w:tcW w:w="1134" w:type="dxa"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17</w:t>
            </w:r>
          </w:p>
        </w:tc>
        <w:tc>
          <w:tcPr>
            <w:tcW w:w="2551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23,5%</w:t>
            </w:r>
          </w:p>
        </w:tc>
      </w:tr>
      <w:tr w:rsidR="00EF20F2" w:rsidRPr="007F7A30" w:rsidTr="00EF20F2">
        <w:trPr>
          <w:trHeight w:val="300"/>
        </w:trPr>
        <w:tc>
          <w:tcPr>
            <w:tcW w:w="1843" w:type="dxa"/>
            <w:noWrap/>
            <w:hideMark/>
          </w:tcPr>
          <w:p w:rsidR="00EF20F2" w:rsidRPr="007F7A30" w:rsidRDefault="00EF20F2" w:rsidP="003E33E9">
            <w:pPr>
              <w:rPr>
                <w:color w:val="000000"/>
              </w:rPr>
            </w:pPr>
            <w:r w:rsidRPr="007F7A30">
              <w:rPr>
                <w:color w:val="000000"/>
              </w:rPr>
              <w:t>Free State</w:t>
            </w:r>
          </w:p>
        </w:tc>
        <w:tc>
          <w:tcPr>
            <w:tcW w:w="1134" w:type="dxa"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0,0%</w:t>
            </w:r>
          </w:p>
        </w:tc>
      </w:tr>
      <w:tr w:rsidR="00EF20F2" w:rsidRPr="007F7A30" w:rsidTr="00EF20F2">
        <w:trPr>
          <w:trHeight w:val="300"/>
        </w:trPr>
        <w:tc>
          <w:tcPr>
            <w:tcW w:w="1843" w:type="dxa"/>
            <w:noWrap/>
            <w:hideMark/>
          </w:tcPr>
          <w:p w:rsidR="00EF20F2" w:rsidRPr="007F7A30" w:rsidRDefault="00EF20F2" w:rsidP="003E33E9">
            <w:pPr>
              <w:rPr>
                <w:color w:val="000000"/>
              </w:rPr>
            </w:pPr>
            <w:r w:rsidRPr="007F7A30">
              <w:rPr>
                <w:color w:val="000000"/>
              </w:rPr>
              <w:t>Gauteng</w:t>
            </w:r>
          </w:p>
        </w:tc>
        <w:tc>
          <w:tcPr>
            <w:tcW w:w="1134" w:type="dxa"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12</w:t>
            </w:r>
          </w:p>
        </w:tc>
        <w:tc>
          <w:tcPr>
            <w:tcW w:w="2551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8,3%</w:t>
            </w:r>
          </w:p>
        </w:tc>
      </w:tr>
      <w:tr w:rsidR="00EF20F2" w:rsidRPr="007F7A30" w:rsidTr="00EF20F2">
        <w:trPr>
          <w:trHeight w:val="300"/>
        </w:trPr>
        <w:tc>
          <w:tcPr>
            <w:tcW w:w="1843" w:type="dxa"/>
            <w:noWrap/>
            <w:hideMark/>
          </w:tcPr>
          <w:p w:rsidR="00EF20F2" w:rsidRPr="007F7A30" w:rsidRDefault="00EF20F2" w:rsidP="003E33E9">
            <w:pPr>
              <w:rPr>
                <w:color w:val="000000"/>
              </w:rPr>
            </w:pPr>
            <w:r w:rsidRPr="007F7A30">
              <w:rPr>
                <w:color w:val="000000"/>
              </w:rPr>
              <w:t>KwaZulu-Natal</w:t>
            </w:r>
          </w:p>
        </w:tc>
        <w:tc>
          <w:tcPr>
            <w:tcW w:w="1134" w:type="dxa"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8</w:t>
            </w:r>
          </w:p>
        </w:tc>
        <w:tc>
          <w:tcPr>
            <w:tcW w:w="2551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12,5%</w:t>
            </w:r>
          </w:p>
        </w:tc>
      </w:tr>
      <w:tr w:rsidR="00EF20F2" w:rsidRPr="007F7A30" w:rsidTr="00EF20F2">
        <w:trPr>
          <w:trHeight w:val="300"/>
        </w:trPr>
        <w:tc>
          <w:tcPr>
            <w:tcW w:w="1843" w:type="dxa"/>
            <w:noWrap/>
            <w:hideMark/>
          </w:tcPr>
          <w:p w:rsidR="00EF20F2" w:rsidRPr="007F7A30" w:rsidRDefault="00EF20F2" w:rsidP="003E33E9">
            <w:pPr>
              <w:rPr>
                <w:color w:val="000000"/>
              </w:rPr>
            </w:pPr>
            <w:r w:rsidRPr="007F7A30">
              <w:rPr>
                <w:color w:val="000000"/>
              </w:rPr>
              <w:t>Northern Cape</w:t>
            </w:r>
          </w:p>
        </w:tc>
        <w:tc>
          <w:tcPr>
            <w:tcW w:w="1134" w:type="dxa"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color w:val="000000"/>
              </w:rPr>
            </w:pPr>
            <w:r w:rsidRPr="007F7A30">
              <w:rPr>
                <w:color w:val="000000"/>
              </w:rPr>
              <w:t>50,0%</w:t>
            </w:r>
          </w:p>
        </w:tc>
      </w:tr>
      <w:tr w:rsidR="00EF20F2" w:rsidRPr="007F7A30" w:rsidTr="00EF20F2">
        <w:trPr>
          <w:trHeight w:val="300"/>
        </w:trPr>
        <w:tc>
          <w:tcPr>
            <w:tcW w:w="1843" w:type="dxa"/>
            <w:noWrap/>
            <w:hideMark/>
          </w:tcPr>
          <w:p w:rsidR="00EF20F2" w:rsidRPr="007F7A30" w:rsidRDefault="00EF20F2" w:rsidP="003E33E9">
            <w:pPr>
              <w:rPr>
                <w:b/>
                <w:bCs/>
                <w:color w:val="000000"/>
              </w:rPr>
            </w:pPr>
            <w:r w:rsidRPr="007F7A30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</w:tcPr>
          <w:p w:rsidR="00EF20F2" w:rsidRPr="007F7A30" w:rsidRDefault="00EF20F2" w:rsidP="003E33E9">
            <w:pPr>
              <w:jc w:val="center"/>
              <w:rPr>
                <w:b/>
                <w:bCs/>
                <w:color w:val="000000"/>
              </w:rPr>
            </w:pPr>
            <w:r w:rsidRPr="007F7A30">
              <w:rPr>
                <w:b/>
                <w:bCs/>
                <w:color w:val="000000"/>
              </w:rPr>
              <w:t>240</w:t>
            </w:r>
          </w:p>
        </w:tc>
        <w:tc>
          <w:tcPr>
            <w:tcW w:w="2551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b/>
                <w:bCs/>
                <w:color w:val="000000"/>
              </w:rPr>
            </w:pPr>
            <w:r w:rsidRPr="007F7A30">
              <w:rPr>
                <w:b/>
                <w:bCs/>
                <w:color w:val="000000"/>
              </w:rPr>
              <w:t>196</w:t>
            </w:r>
          </w:p>
        </w:tc>
        <w:tc>
          <w:tcPr>
            <w:tcW w:w="1418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b/>
                <w:bCs/>
                <w:color w:val="000000"/>
              </w:rPr>
            </w:pPr>
            <w:r w:rsidRPr="007F7A30">
              <w:rPr>
                <w:b/>
                <w:bCs/>
                <w:color w:val="000000"/>
              </w:rPr>
              <w:t>44</w:t>
            </w:r>
          </w:p>
        </w:tc>
        <w:tc>
          <w:tcPr>
            <w:tcW w:w="1984" w:type="dxa"/>
            <w:noWrap/>
            <w:hideMark/>
          </w:tcPr>
          <w:p w:rsidR="00EF20F2" w:rsidRPr="007F7A30" w:rsidRDefault="00EF20F2" w:rsidP="003E33E9">
            <w:pPr>
              <w:jc w:val="center"/>
              <w:rPr>
                <w:b/>
                <w:bCs/>
                <w:color w:val="000000"/>
              </w:rPr>
            </w:pPr>
            <w:r w:rsidRPr="007F7A30">
              <w:rPr>
                <w:b/>
                <w:bCs/>
                <w:color w:val="000000"/>
              </w:rPr>
              <w:t>18,3%</w:t>
            </w:r>
          </w:p>
        </w:tc>
      </w:tr>
    </w:tbl>
    <w:p w:rsidR="00EF20F2" w:rsidRDefault="00EF20F2" w:rsidP="002F43C3">
      <w:pPr>
        <w:pStyle w:val="BodyText"/>
        <w:rPr>
          <w:sz w:val="24"/>
          <w:lang w:val="en-GB"/>
        </w:rPr>
      </w:pPr>
    </w:p>
    <w:p w:rsidR="00E238C2" w:rsidRPr="00BB0548" w:rsidRDefault="00E238C2" w:rsidP="002F43C3">
      <w:pPr>
        <w:pStyle w:val="BodyText"/>
        <w:rPr>
          <w:bCs/>
          <w:sz w:val="24"/>
          <w:lang w:val="en-GB"/>
        </w:rPr>
      </w:pPr>
      <w:r w:rsidRPr="00BB0548">
        <w:rPr>
          <w:sz w:val="24"/>
          <w:lang w:val="en-GB"/>
        </w:rPr>
        <w:t>END.</w:t>
      </w:r>
    </w:p>
    <w:sectPr w:rsidR="00E238C2" w:rsidRPr="00BB05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CD" w:rsidRDefault="008C0ECD">
      <w:r>
        <w:separator/>
      </w:r>
    </w:p>
  </w:endnote>
  <w:endnote w:type="continuationSeparator" w:id="0">
    <w:p w:rsidR="008C0ECD" w:rsidRDefault="008C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F20F2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CD" w:rsidRDefault="008C0ECD">
      <w:r>
        <w:separator/>
      </w:r>
    </w:p>
  </w:footnote>
  <w:footnote w:type="continuationSeparator" w:id="0">
    <w:p w:rsidR="008C0ECD" w:rsidRDefault="008C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8BC"/>
    <w:multiLevelType w:val="hybridMultilevel"/>
    <w:tmpl w:val="793096B0"/>
    <w:lvl w:ilvl="0" w:tplc="7FFED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EF173F"/>
    <w:multiLevelType w:val="hybridMultilevel"/>
    <w:tmpl w:val="9B46401C"/>
    <w:lvl w:ilvl="0" w:tplc="50449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17AC3"/>
    <w:rsid w:val="00023BF4"/>
    <w:rsid w:val="00025DC9"/>
    <w:rsid w:val="000277C7"/>
    <w:rsid w:val="0004183B"/>
    <w:rsid w:val="000545E2"/>
    <w:rsid w:val="00056AD2"/>
    <w:rsid w:val="00056CD8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07F4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0383"/>
    <w:rsid w:val="000C4D1B"/>
    <w:rsid w:val="000C7770"/>
    <w:rsid w:val="000E437F"/>
    <w:rsid w:val="000E5158"/>
    <w:rsid w:val="000F059B"/>
    <w:rsid w:val="000F0FCF"/>
    <w:rsid w:val="000F2F2D"/>
    <w:rsid w:val="000F347F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5C76"/>
    <w:rsid w:val="00146D0C"/>
    <w:rsid w:val="00150F90"/>
    <w:rsid w:val="00157836"/>
    <w:rsid w:val="00160BDE"/>
    <w:rsid w:val="00161566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AA5"/>
    <w:rsid w:val="001C0252"/>
    <w:rsid w:val="001C1165"/>
    <w:rsid w:val="001C2FB1"/>
    <w:rsid w:val="001C433A"/>
    <w:rsid w:val="001C4B60"/>
    <w:rsid w:val="001C6528"/>
    <w:rsid w:val="001C70A3"/>
    <w:rsid w:val="001D2E01"/>
    <w:rsid w:val="001D714B"/>
    <w:rsid w:val="001D7AD7"/>
    <w:rsid w:val="001E53FE"/>
    <w:rsid w:val="001E5E5C"/>
    <w:rsid w:val="001E6713"/>
    <w:rsid w:val="001E7247"/>
    <w:rsid w:val="001F3F82"/>
    <w:rsid w:val="00200E6B"/>
    <w:rsid w:val="00202C12"/>
    <w:rsid w:val="00202CF5"/>
    <w:rsid w:val="00207DDB"/>
    <w:rsid w:val="0021799A"/>
    <w:rsid w:val="002242A9"/>
    <w:rsid w:val="00233C3B"/>
    <w:rsid w:val="00240C90"/>
    <w:rsid w:val="0024216E"/>
    <w:rsid w:val="002519F4"/>
    <w:rsid w:val="0026037D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F3650"/>
    <w:rsid w:val="003F3EB8"/>
    <w:rsid w:val="003F693D"/>
    <w:rsid w:val="003F6F06"/>
    <w:rsid w:val="00401D11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061"/>
    <w:rsid w:val="00513CF0"/>
    <w:rsid w:val="00513F9B"/>
    <w:rsid w:val="00514D5A"/>
    <w:rsid w:val="00515018"/>
    <w:rsid w:val="00525127"/>
    <w:rsid w:val="0053174B"/>
    <w:rsid w:val="0053416A"/>
    <w:rsid w:val="00536CAB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E21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53F5"/>
    <w:rsid w:val="00655AA8"/>
    <w:rsid w:val="006664AE"/>
    <w:rsid w:val="00666DDA"/>
    <w:rsid w:val="006779D4"/>
    <w:rsid w:val="00683343"/>
    <w:rsid w:val="00692BF0"/>
    <w:rsid w:val="00692C90"/>
    <w:rsid w:val="006930ED"/>
    <w:rsid w:val="006A34EA"/>
    <w:rsid w:val="006A3E83"/>
    <w:rsid w:val="006A6B0A"/>
    <w:rsid w:val="006B1A27"/>
    <w:rsid w:val="006B5E48"/>
    <w:rsid w:val="006B6D53"/>
    <w:rsid w:val="006B750D"/>
    <w:rsid w:val="006C19F1"/>
    <w:rsid w:val="006C3B39"/>
    <w:rsid w:val="006C4A26"/>
    <w:rsid w:val="006C5994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1473"/>
    <w:rsid w:val="007E2827"/>
    <w:rsid w:val="007E6493"/>
    <w:rsid w:val="007E6896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637B"/>
    <w:rsid w:val="00866D7D"/>
    <w:rsid w:val="00872BD1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0ECD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7AB8"/>
    <w:rsid w:val="0095131B"/>
    <w:rsid w:val="00952EC0"/>
    <w:rsid w:val="0095543A"/>
    <w:rsid w:val="00956260"/>
    <w:rsid w:val="00960541"/>
    <w:rsid w:val="009626EF"/>
    <w:rsid w:val="00971BA9"/>
    <w:rsid w:val="009743D8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2585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2890"/>
    <w:rsid w:val="00A7509E"/>
    <w:rsid w:val="00A76B2C"/>
    <w:rsid w:val="00A80F10"/>
    <w:rsid w:val="00A82D5D"/>
    <w:rsid w:val="00A87CFA"/>
    <w:rsid w:val="00A90CE7"/>
    <w:rsid w:val="00A93CDF"/>
    <w:rsid w:val="00A958D3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AE65CC"/>
    <w:rsid w:val="00B04496"/>
    <w:rsid w:val="00B0762E"/>
    <w:rsid w:val="00B2423A"/>
    <w:rsid w:val="00B2718E"/>
    <w:rsid w:val="00B30D8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037"/>
    <w:rsid w:val="00B81F03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1DF3"/>
    <w:rsid w:val="00C0227C"/>
    <w:rsid w:val="00C05144"/>
    <w:rsid w:val="00C063AA"/>
    <w:rsid w:val="00C26148"/>
    <w:rsid w:val="00C3756F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E1546"/>
    <w:rsid w:val="00CF0AD4"/>
    <w:rsid w:val="00CF0FD4"/>
    <w:rsid w:val="00CF60D1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1AB9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289B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5240"/>
    <w:rsid w:val="00EA464E"/>
    <w:rsid w:val="00EB211A"/>
    <w:rsid w:val="00EB241F"/>
    <w:rsid w:val="00EC7D51"/>
    <w:rsid w:val="00ED527A"/>
    <w:rsid w:val="00ED5C31"/>
    <w:rsid w:val="00ED7F8F"/>
    <w:rsid w:val="00EE00E5"/>
    <w:rsid w:val="00EE4792"/>
    <w:rsid w:val="00EE56A6"/>
    <w:rsid w:val="00EE7B7D"/>
    <w:rsid w:val="00EE7C2B"/>
    <w:rsid w:val="00EF20F2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C4A"/>
    <w:rsid w:val="00F70EBE"/>
    <w:rsid w:val="00F7399B"/>
    <w:rsid w:val="00F74F4A"/>
    <w:rsid w:val="00F76353"/>
    <w:rsid w:val="00F77118"/>
    <w:rsid w:val="00F8313D"/>
    <w:rsid w:val="00F84286"/>
    <w:rsid w:val="00F8467F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3CAB"/>
    <w:rsid w:val="00FB4984"/>
    <w:rsid w:val="00FB5A74"/>
    <w:rsid w:val="00FC19DA"/>
    <w:rsid w:val="00FC68A2"/>
    <w:rsid w:val="00FC6A90"/>
    <w:rsid w:val="00FD1304"/>
    <w:rsid w:val="00FD42B3"/>
    <w:rsid w:val="00FD4B4F"/>
    <w:rsid w:val="00FD6E22"/>
    <w:rsid w:val="00FE00A3"/>
    <w:rsid w:val="00FE233F"/>
    <w:rsid w:val="00FE5121"/>
    <w:rsid w:val="00FE6870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A7">
    <w:name w:val="A7"/>
    <w:uiPriority w:val="99"/>
    <w:rsid w:val="009B2585"/>
    <w:rPr>
      <w:rFonts w:cs="Cambri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2020-07-22T14:42:00Z</dcterms:created>
  <dcterms:modified xsi:type="dcterms:W3CDTF">2020-07-22T14:42:00Z</dcterms:modified>
</cp:coreProperties>
</file>