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304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w:t>
      </w:r>
      <w:r w:rsidR="00CB5879">
        <w:rPr>
          <w:b/>
          <w:bCs/>
          <w:sz w:val="24"/>
          <w:u w:val="single"/>
        </w:rPr>
        <w:t>9</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7E2827" w:rsidRPr="007E2827" w:rsidRDefault="007E2827" w:rsidP="007E2827">
      <w:pPr>
        <w:spacing w:before="100" w:beforeAutospacing="1" w:after="100" w:afterAutospacing="1"/>
        <w:ind w:left="709" w:hanging="709"/>
        <w:jc w:val="both"/>
        <w:rPr>
          <w:b/>
          <w:sz w:val="24"/>
          <w:u w:val="single"/>
        </w:rPr>
      </w:pPr>
      <w:r w:rsidRPr="007E2827">
        <w:rPr>
          <w:b/>
          <w:sz w:val="24"/>
          <w:u w:val="single"/>
        </w:rPr>
        <w:t>Mr H Ismail (DA) to ask the Minister of Health</w:t>
      </w:r>
      <w:r w:rsidRPr="007E2827">
        <w:rPr>
          <w:b/>
          <w:sz w:val="24"/>
          <w:u w:val="single"/>
        </w:rPr>
        <w:fldChar w:fldCharType="begin"/>
      </w:r>
      <w:r w:rsidRPr="007E2827">
        <w:rPr>
          <w:u w:val="single"/>
        </w:rPr>
        <w:instrText xml:space="preserve"> XE "</w:instrText>
      </w:r>
      <w:r w:rsidRPr="007E2827">
        <w:rPr>
          <w:b/>
          <w:sz w:val="24"/>
          <w:u w:val="single"/>
        </w:rPr>
        <w:instrText>Health</w:instrText>
      </w:r>
      <w:r w:rsidRPr="007E2827">
        <w:rPr>
          <w:u w:val="single"/>
        </w:rPr>
        <w:instrText xml:space="preserve">" </w:instrText>
      </w:r>
      <w:r w:rsidRPr="007E2827">
        <w:rPr>
          <w:b/>
          <w:sz w:val="24"/>
          <w:u w:val="single"/>
        </w:rPr>
        <w:fldChar w:fldCharType="end"/>
      </w:r>
      <w:r w:rsidRPr="007E2827">
        <w:rPr>
          <w:b/>
          <w:sz w:val="24"/>
          <w:u w:val="single"/>
        </w:rPr>
        <w:t>:</w:t>
      </w:r>
    </w:p>
    <w:p w:rsidR="007E2827" w:rsidRPr="007E2827" w:rsidRDefault="007E2827" w:rsidP="007E2827">
      <w:pPr>
        <w:spacing w:before="100" w:beforeAutospacing="1" w:after="100" w:afterAutospacing="1"/>
        <w:ind w:left="709" w:hanging="720"/>
        <w:jc w:val="both"/>
        <w:outlineLvl w:val="0"/>
        <w:rPr>
          <w:sz w:val="24"/>
          <w:lang w:eastAsia="en-ZA"/>
        </w:rPr>
      </w:pPr>
      <w:r w:rsidRPr="007E2827">
        <w:rPr>
          <w:sz w:val="24"/>
        </w:rPr>
        <w:t>(1)</w:t>
      </w:r>
      <w:r w:rsidRPr="007E2827">
        <w:rPr>
          <w:sz w:val="24"/>
        </w:rPr>
        <w:tab/>
        <w:t>What is the extent of the current backlog in the processing of tests for the severe acute respiratory syndrome coronavirus 2 (SARS-CoV-2) in each province;</w:t>
      </w:r>
    </w:p>
    <w:p w:rsidR="00786C98" w:rsidRPr="007E2827" w:rsidRDefault="007E2827" w:rsidP="007E2827">
      <w:pPr>
        <w:spacing w:before="100" w:beforeAutospacing="1" w:after="100" w:afterAutospacing="1"/>
        <w:ind w:left="709" w:hanging="720"/>
        <w:jc w:val="both"/>
        <w:outlineLvl w:val="0"/>
        <w:rPr>
          <w:sz w:val="20"/>
          <w:szCs w:val="20"/>
        </w:rPr>
      </w:pPr>
      <w:r w:rsidRPr="007E2827">
        <w:rPr>
          <w:sz w:val="24"/>
        </w:rPr>
        <w:t xml:space="preserve">(2) </w:t>
      </w:r>
      <w:r w:rsidRPr="007E2827">
        <w:rPr>
          <w:sz w:val="24"/>
        </w:rPr>
        <w:tab/>
        <w:t>what is the average number of days that it takes to process SARS-CoV</w:t>
      </w:r>
      <w:r>
        <w:rPr>
          <w:sz w:val="24"/>
        </w:rPr>
        <w:t>-2 tests in each province?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7E2827">
        <w:rPr>
          <w:color w:val="000000"/>
        </w:rPr>
        <w:t>672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1F1128" w:rsidRPr="001F1128" w:rsidRDefault="001F1128" w:rsidP="001F1128">
      <w:pPr>
        <w:pStyle w:val="BodyText"/>
        <w:rPr>
          <w:rFonts w:eastAsia="Calibri"/>
          <w:b/>
          <w:bCs/>
          <w:sz w:val="24"/>
          <w:u w:val="single"/>
          <w:lang w:val="en-GB"/>
        </w:rPr>
      </w:pPr>
    </w:p>
    <w:p w:rsidR="001F1128" w:rsidRPr="001F1128" w:rsidRDefault="001F1128" w:rsidP="001F1128">
      <w:pPr>
        <w:pStyle w:val="BodyText"/>
        <w:numPr>
          <w:ilvl w:val="0"/>
          <w:numId w:val="8"/>
        </w:numPr>
        <w:ind w:hanging="720"/>
        <w:rPr>
          <w:sz w:val="24"/>
          <w:lang w:val="en-ZA"/>
        </w:rPr>
      </w:pPr>
      <w:r w:rsidRPr="001F1128">
        <w:rPr>
          <w:sz w:val="24"/>
        </w:rPr>
        <w:t xml:space="preserve">Despite the efforts to increase testing capacity in all provinces, the National Health Laboratory Services (NHLS) experienced an accumulation of unprocessed specimens (backlogs), since the beginning of May 2020 when provinces embarked on mass testing, due to the global shortage of test kits. </w:t>
      </w:r>
    </w:p>
    <w:p w:rsidR="001F1128" w:rsidRPr="001F1128" w:rsidRDefault="001F1128" w:rsidP="001F1128">
      <w:pPr>
        <w:pStyle w:val="BodyText"/>
        <w:rPr>
          <w:sz w:val="24"/>
        </w:rPr>
      </w:pPr>
    </w:p>
    <w:p w:rsidR="001F1128" w:rsidRPr="001F1128" w:rsidRDefault="001F1128" w:rsidP="001F1128">
      <w:pPr>
        <w:pStyle w:val="BodyText"/>
        <w:ind w:left="720"/>
        <w:rPr>
          <w:sz w:val="24"/>
        </w:rPr>
      </w:pPr>
      <w:r w:rsidRPr="001F1128">
        <w:rPr>
          <w:sz w:val="24"/>
        </w:rPr>
        <w:t>The NHLS initiated mitigation plans to try and reduce the backlog. The strategy the NHLS used was to prioritize the provinces where there was a high positivity rate, and clear the backlogs. The strategy implemented has successfully reduced the backlog in most provinces. The table below shows that currently three provinces have backlogs.</w:t>
      </w:r>
      <w:r w:rsidR="00855193">
        <w:rPr>
          <w:sz w:val="24"/>
        </w:rPr>
        <w:t xml:space="preserve"> </w:t>
      </w:r>
      <w:r w:rsidRPr="001F1128">
        <w:rPr>
          <w:sz w:val="24"/>
        </w:rPr>
        <w:t>The NHLS is working actively with the provinces to address this backlog.</w:t>
      </w:r>
    </w:p>
    <w:p w:rsidR="001F1128" w:rsidRPr="001F1128" w:rsidRDefault="001F1128" w:rsidP="001F1128">
      <w:pPr>
        <w:pStyle w:val="BodyText"/>
        <w:rPr>
          <w:sz w:val="24"/>
        </w:rPr>
      </w:pPr>
      <w:r w:rsidRPr="001F1128">
        <w:rPr>
          <w:sz w:val="24"/>
        </w:rPr>
        <w:tab/>
        <w:t xml:space="preserve"> </w:t>
      </w:r>
    </w:p>
    <w:p w:rsidR="001F1128" w:rsidRDefault="001F1128" w:rsidP="001F1128">
      <w:pPr>
        <w:pStyle w:val="BodyText"/>
        <w:ind w:left="720"/>
        <w:rPr>
          <w:sz w:val="24"/>
        </w:rPr>
      </w:pPr>
      <w:r w:rsidRPr="001F1128">
        <w:rPr>
          <w:sz w:val="24"/>
        </w:rPr>
        <w:t>The Western Cape, Free State, Limpopo, Mpumalanga, Northern Cape and North West currently do not have any backlogs.</w:t>
      </w:r>
    </w:p>
    <w:p w:rsidR="001F1128" w:rsidRPr="001F1128" w:rsidRDefault="001F1128" w:rsidP="001F1128">
      <w:pPr>
        <w:pStyle w:val="BodyText"/>
        <w:ind w:left="720"/>
        <w:rPr>
          <w:sz w:val="24"/>
        </w:rPr>
      </w:pPr>
    </w:p>
    <w:tbl>
      <w:tblPr>
        <w:tblW w:w="9760" w:type="dxa"/>
        <w:tblInd w:w="448" w:type="dxa"/>
        <w:tblLook w:val="04A0" w:firstRow="1" w:lastRow="0" w:firstColumn="1" w:lastColumn="0" w:noHBand="0" w:noVBand="1"/>
      </w:tblPr>
      <w:tblGrid>
        <w:gridCol w:w="978"/>
        <w:gridCol w:w="957"/>
        <w:gridCol w:w="957"/>
        <w:gridCol w:w="957"/>
        <w:gridCol w:w="957"/>
        <w:gridCol w:w="957"/>
        <w:gridCol w:w="957"/>
        <w:gridCol w:w="960"/>
        <w:gridCol w:w="960"/>
        <w:gridCol w:w="1120"/>
      </w:tblGrid>
      <w:tr w:rsidR="001F1128" w:rsidRPr="00937AC9" w:rsidTr="00125CDB">
        <w:trPr>
          <w:trHeight w:val="300"/>
        </w:trPr>
        <w:tc>
          <w:tcPr>
            <w:tcW w:w="97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Region</w:t>
            </w:r>
          </w:p>
        </w:tc>
        <w:tc>
          <w:tcPr>
            <w:tcW w:w="957"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09-May-20</w:t>
            </w:r>
          </w:p>
        </w:tc>
        <w:tc>
          <w:tcPr>
            <w:tcW w:w="957"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14-May-20</w:t>
            </w:r>
          </w:p>
        </w:tc>
        <w:tc>
          <w:tcPr>
            <w:tcW w:w="957"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21-May-20</w:t>
            </w:r>
          </w:p>
        </w:tc>
        <w:tc>
          <w:tcPr>
            <w:tcW w:w="957"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25-May-20</w:t>
            </w:r>
          </w:p>
        </w:tc>
        <w:tc>
          <w:tcPr>
            <w:tcW w:w="957"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28-May-20</w:t>
            </w:r>
          </w:p>
        </w:tc>
        <w:tc>
          <w:tcPr>
            <w:tcW w:w="957"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04-Jun-20</w:t>
            </w:r>
          </w:p>
        </w:tc>
        <w:tc>
          <w:tcPr>
            <w:tcW w:w="960"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11-Jun-20</w:t>
            </w:r>
          </w:p>
        </w:tc>
        <w:tc>
          <w:tcPr>
            <w:tcW w:w="960"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16-Jun-20</w:t>
            </w:r>
          </w:p>
        </w:tc>
        <w:tc>
          <w:tcPr>
            <w:tcW w:w="1120" w:type="dxa"/>
            <w:tcBorders>
              <w:top w:val="single" w:sz="4" w:space="0" w:color="auto"/>
              <w:left w:val="nil"/>
              <w:bottom w:val="single" w:sz="4" w:space="0" w:color="auto"/>
              <w:right w:val="single" w:sz="4" w:space="0" w:color="auto"/>
            </w:tcBorders>
            <w:shd w:val="clear" w:color="000000" w:fill="92D050"/>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07-Jul-20</w:t>
            </w:r>
          </w:p>
        </w:tc>
      </w:tr>
      <w:tr w:rsidR="001F1128" w:rsidRPr="00937AC9" w:rsidTr="00125CDB">
        <w:trPr>
          <w:trHeight w:val="48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Eastern Cape</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8 350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7 000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23 000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22 802</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21 000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21 355</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18 254</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15 501</w:t>
            </w:r>
          </w:p>
        </w:tc>
        <w:tc>
          <w:tcPr>
            <w:tcW w:w="112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9490</w:t>
            </w:r>
          </w:p>
        </w:tc>
      </w:tr>
      <w:tr w:rsidR="001F1128" w:rsidRPr="00937AC9" w:rsidTr="00125CDB">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Free State</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200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4 300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6 000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8 800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1 767</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0</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 0</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 0</w:t>
            </w:r>
          </w:p>
        </w:tc>
        <w:tc>
          <w:tcPr>
            <w:tcW w:w="112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0</w:t>
            </w:r>
          </w:p>
        </w:tc>
      </w:tr>
      <w:tr w:rsidR="001F1128" w:rsidRPr="00937AC9" w:rsidTr="00125CDB">
        <w:trPr>
          <w:trHeight w:val="30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Gauteng</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15 000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13 000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23 000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24 076</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24 000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28 395</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20 978</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27 000</w:t>
            </w:r>
          </w:p>
        </w:tc>
        <w:tc>
          <w:tcPr>
            <w:tcW w:w="112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13091</w:t>
            </w:r>
          </w:p>
        </w:tc>
      </w:tr>
      <w:tr w:rsidR="001F1128" w:rsidRPr="00937AC9" w:rsidTr="00125CDB">
        <w:trPr>
          <w:trHeight w:val="48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KwaZulu-Natal</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12 000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18 000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28 000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22 802</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22 000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20 751</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14 802</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12 400</w:t>
            </w:r>
          </w:p>
        </w:tc>
        <w:tc>
          <w:tcPr>
            <w:tcW w:w="112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3 500</w:t>
            </w:r>
          </w:p>
        </w:tc>
      </w:tr>
      <w:tr w:rsidR="001F1128" w:rsidRPr="00937AC9" w:rsidTr="00125CDB">
        <w:trPr>
          <w:trHeight w:val="48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1F1128" w:rsidRPr="00937AC9" w:rsidRDefault="001F1128" w:rsidP="00125CDB">
            <w:pPr>
              <w:jc w:val="both"/>
              <w:rPr>
                <w:color w:val="000000"/>
                <w:sz w:val="18"/>
                <w:szCs w:val="18"/>
                <w:lang w:val="en-ZA" w:eastAsia="en-ZA"/>
              </w:rPr>
            </w:pPr>
            <w:r w:rsidRPr="00937AC9">
              <w:rPr>
                <w:color w:val="000000"/>
                <w:sz w:val="18"/>
                <w:szCs w:val="18"/>
                <w:lang w:val="en-ZA" w:eastAsia="en-ZA"/>
              </w:rPr>
              <w:t>Western Cape</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14 000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16 630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21 000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18 000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15 000</w:t>
            </w:r>
          </w:p>
        </w:tc>
        <w:tc>
          <w:tcPr>
            <w:tcW w:w="957" w:type="dxa"/>
            <w:tcBorders>
              <w:top w:val="nil"/>
              <w:left w:val="nil"/>
              <w:bottom w:val="single" w:sz="4" w:space="0" w:color="auto"/>
              <w:right w:val="single" w:sz="4" w:space="0" w:color="auto"/>
            </w:tcBorders>
            <w:shd w:val="clear" w:color="auto" w:fill="auto"/>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10 568</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3 000</w:t>
            </w:r>
          </w:p>
        </w:tc>
        <w:tc>
          <w:tcPr>
            <w:tcW w:w="96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color w:val="000000"/>
                <w:sz w:val="18"/>
                <w:szCs w:val="18"/>
                <w:lang w:val="en-ZA" w:eastAsia="en-ZA"/>
              </w:rPr>
            </w:pPr>
            <w:r w:rsidRPr="00937AC9">
              <w:rPr>
                <w:color w:val="000000"/>
                <w:sz w:val="18"/>
                <w:szCs w:val="18"/>
                <w:lang w:val="en-ZA" w:eastAsia="en-ZA"/>
              </w:rPr>
              <w:t>0</w:t>
            </w:r>
          </w:p>
        </w:tc>
        <w:tc>
          <w:tcPr>
            <w:tcW w:w="1120" w:type="dxa"/>
            <w:tcBorders>
              <w:top w:val="nil"/>
              <w:left w:val="nil"/>
              <w:bottom w:val="single" w:sz="4" w:space="0" w:color="auto"/>
              <w:right w:val="single" w:sz="4" w:space="0" w:color="auto"/>
            </w:tcBorders>
            <w:shd w:val="clear" w:color="auto" w:fill="auto"/>
            <w:noWrap/>
            <w:vAlign w:val="center"/>
            <w:hideMark/>
          </w:tcPr>
          <w:p w:rsidR="001F1128" w:rsidRPr="00937AC9" w:rsidRDefault="001F1128" w:rsidP="00125CDB">
            <w:pPr>
              <w:jc w:val="center"/>
              <w:rPr>
                <w:rFonts w:ascii="Calibri" w:hAnsi="Calibri" w:cs="Calibri"/>
                <w:color w:val="000000"/>
                <w:szCs w:val="22"/>
                <w:lang w:val="en-ZA" w:eastAsia="en-ZA"/>
              </w:rPr>
            </w:pPr>
            <w:r w:rsidRPr="00937AC9">
              <w:rPr>
                <w:rFonts w:ascii="Calibri" w:hAnsi="Calibri" w:cs="Calibri"/>
                <w:color w:val="000000"/>
                <w:szCs w:val="22"/>
                <w:lang w:val="en-ZA" w:eastAsia="en-ZA"/>
              </w:rPr>
              <w:t>0</w:t>
            </w:r>
          </w:p>
        </w:tc>
      </w:tr>
      <w:tr w:rsidR="001F1128" w:rsidRPr="00937AC9" w:rsidTr="00125CDB">
        <w:trPr>
          <w:trHeight w:val="300"/>
        </w:trPr>
        <w:tc>
          <w:tcPr>
            <w:tcW w:w="978" w:type="dxa"/>
            <w:tcBorders>
              <w:top w:val="nil"/>
              <w:left w:val="single" w:sz="4" w:space="0" w:color="auto"/>
              <w:bottom w:val="single" w:sz="4" w:space="0" w:color="auto"/>
              <w:right w:val="single" w:sz="4" w:space="0" w:color="auto"/>
            </w:tcBorders>
            <w:shd w:val="clear" w:color="000000" w:fill="BFBFBF"/>
            <w:vAlign w:val="center"/>
            <w:hideMark/>
          </w:tcPr>
          <w:p w:rsidR="001F1128" w:rsidRPr="00937AC9" w:rsidRDefault="001F1128" w:rsidP="00125CDB">
            <w:pPr>
              <w:jc w:val="both"/>
              <w:rPr>
                <w:b/>
                <w:bCs/>
                <w:color w:val="000000"/>
                <w:sz w:val="18"/>
                <w:szCs w:val="18"/>
                <w:lang w:val="en-ZA" w:eastAsia="en-ZA"/>
              </w:rPr>
            </w:pPr>
            <w:r w:rsidRPr="00937AC9">
              <w:rPr>
                <w:b/>
                <w:bCs/>
                <w:color w:val="000000"/>
                <w:sz w:val="18"/>
                <w:szCs w:val="18"/>
                <w:lang w:val="en-ZA" w:eastAsia="en-ZA"/>
              </w:rPr>
              <w:t>Total</w:t>
            </w:r>
          </w:p>
        </w:tc>
        <w:tc>
          <w:tcPr>
            <w:tcW w:w="957"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49 550</w:t>
            </w:r>
          </w:p>
        </w:tc>
        <w:tc>
          <w:tcPr>
            <w:tcW w:w="957"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58 930</w:t>
            </w:r>
          </w:p>
        </w:tc>
        <w:tc>
          <w:tcPr>
            <w:tcW w:w="957"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101 000</w:t>
            </w:r>
          </w:p>
        </w:tc>
        <w:tc>
          <w:tcPr>
            <w:tcW w:w="957"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96 480</w:t>
            </w:r>
          </w:p>
        </w:tc>
        <w:tc>
          <w:tcPr>
            <w:tcW w:w="957"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83 767</w:t>
            </w:r>
          </w:p>
        </w:tc>
        <w:tc>
          <w:tcPr>
            <w:tcW w:w="957"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81 069</w:t>
            </w:r>
          </w:p>
        </w:tc>
        <w:tc>
          <w:tcPr>
            <w:tcW w:w="960"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57 034</w:t>
            </w:r>
          </w:p>
        </w:tc>
        <w:tc>
          <w:tcPr>
            <w:tcW w:w="960"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54 901</w:t>
            </w:r>
          </w:p>
        </w:tc>
        <w:tc>
          <w:tcPr>
            <w:tcW w:w="1120" w:type="dxa"/>
            <w:tcBorders>
              <w:top w:val="nil"/>
              <w:left w:val="nil"/>
              <w:bottom w:val="single" w:sz="4" w:space="0" w:color="auto"/>
              <w:right w:val="single" w:sz="4" w:space="0" w:color="auto"/>
            </w:tcBorders>
            <w:shd w:val="clear" w:color="000000" w:fill="BFBFBF"/>
            <w:vAlign w:val="center"/>
            <w:hideMark/>
          </w:tcPr>
          <w:p w:rsidR="001F1128" w:rsidRPr="00937AC9" w:rsidRDefault="001F1128" w:rsidP="00125CDB">
            <w:pPr>
              <w:jc w:val="center"/>
              <w:rPr>
                <w:b/>
                <w:bCs/>
                <w:color w:val="000000"/>
                <w:sz w:val="18"/>
                <w:szCs w:val="18"/>
                <w:lang w:val="en-ZA" w:eastAsia="en-ZA"/>
              </w:rPr>
            </w:pPr>
            <w:r w:rsidRPr="00937AC9">
              <w:rPr>
                <w:b/>
                <w:bCs/>
                <w:color w:val="000000"/>
                <w:sz w:val="18"/>
                <w:szCs w:val="18"/>
                <w:lang w:val="en-ZA" w:eastAsia="en-ZA"/>
              </w:rPr>
              <w:t>26 081</w:t>
            </w:r>
          </w:p>
        </w:tc>
      </w:tr>
    </w:tbl>
    <w:p w:rsidR="001F1128" w:rsidRPr="006665AF" w:rsidRDefault="001F1128" w:rsidP="001F1128">
      <w:pPr>
        <w:pStyle w:val="BodyText"/>
        <w:ind w:left="720"/>
        <w:rPr>
          <w:sz w:val="24"/>
        </w:rPr>
      </w:pPr>
    </w:p>
    <w:p w:rsidR="001F1128" w:rsidRDefault="001F1128" w:rsidP="001F1128">
      <w:pPr>
        <w:pStyle w:val="BodyText"/>
        <w:rPr>
          <w:sz w:val="24"/>
        </w:rPr>
      </w:pPr>
      <w:r w:rsidRPr="006665AF">
        <w:rPr>
          <w:sz w:val="24"/>
        </w:rPr>
        <w:tab/>
      </w:r>
    </w:p>
    <w:p w:rsidR="001F1128" w:rsidRPr="001F1128" w:rsidRDefault="001F1128" w:rsidP="001F1128">
      <w:pPr>
        <w:pStyle w:val="BodyText"/>
        <w:ind w:firstLine="720"/>
        <w:rPr>
          <w:b/>
          <w:sz w:val="24"/>
        </w:rPr>
      </w:pPr>
      <w:r w:rsidRPr="001F1128">
        <w:rPr>
          <w:b/>
          <w:sz w:val="24"/>
        </w:rPr>
        <w:t>Reduction of Backlog</w:t>
      </w:r>
    </w:p>
    <w:p w:rsidR="001F1128" w:rsidRPr="001F1128" w:rsidRDefault="001F1128" w:rsidP="001F1128">
      <w:pPr>
        <w:pStyle w:val="BodyText"/>
        <w:rPr>
          <w:sz w:val="24"/>
        </w:rPr>
      </w:pPr>
    </w:p>
    <w:p w:rsidR="001F1128" w:rsidRPr="001F1128" w:rsidRDefault="001F1128" w:rsidP="001F1128">
      <w:pPr>
        <w:pStyle w:val="BodyText"/>
        <w:ind w:firstLine="720"/>
        <w:rPr>
          <w:sz w:val="24"/>
        </w:rPr>
      </w:pPr>
      <w:r w:rsidRPr="001F1128">
        <w:rPr>
          <w:sz w:val="24"/>
        </w:rPr>
        <w:t>The reduction in the backlog has been achieved though the following:</w:t>
      </w:r>
    </w:p>
    <w:p w:rsidR="001F1128" w:rsidRPr="001F1128" w:rsidRDefault="001F1128" w:rsidP="001F1128">
      <w:pPr>
        <w:pStyle w:val="BodyText"/>
        <w:ind w:firstLine="720"/>
        <w:rPr>
          <w:sz w:val="24"/>
        </w:rPr>
      </w:pPr>
    </w:p>
    <w:p w:rsidR="001F1128" w:rsidRPr="001F1128" w:rsidRDefault="001F1128" w:rsidP="001F1128">
      <w:pPr>
        <w:pStyle w:val="BodyText"/>
        <w:numPr>
          <w:ilvl w:val="0"/>
          <w:numId w:val="7"/>
        </w:numPr>
        <w:spacing w:after="240"/>
        <w:ind w:left="1418" w:hanging="567"/>
        <w:rPr>
          <w:sz w:val="24"/>
        </w:rPr>
      </w:pPr>
      <w:r w:rsidRPr="001F1128">
        <w:rPr>
          <w:sz w:val="24"/>
        </w:rPr>
        <w:t>Re-prioritizing test kits to provinces with high positivity rates.</w:t>
      </w:r>
    </w:p>
    <w:p w:rsidR="001F1128" w:rsidRPr="001F1128" w:rsidRDefault="001F1128" w:rsidP="001F1128">
      <w:pPr>
        <w:pStyle w:val="BodyText"/>
        <w:numPr>
          <w:ilvl w:val="0"/>
          <w:numId w:val="7"/>
        </w:numPr>
        <w:spacing w:after="240"/>
        <w:ind w:left="1418" w:hanging="567"/>
        <w:rPr>
          <w:sz w:val="24"/>
        </w:rPr>
      </w:pPr>
      <w:r w:rsidRPr="001F1128">
        <w:rPr>
          <w:sz w:val="24"/>
        </w:rPr>
        <w:t>A slightly improved supply of extraction kits.</w:t>
      </w:r>
    </w:p>
    <w:p w:rsidR="001F1128" w:rsidRPr="001F1128" w:rsidRDefault="001F1128" w:rsidP="001F1128">
      <w:pPr>
        <w:pStyle w:val="BodyText"/>
        <w:numPr>
          <w:ilvl w:val="0"/>
          <w:numId w:val="7"/>
        </w:numPr>
        <w:spacing w:after="240"/>
        <w:ind w:left="1418" w:hanging="567"/>
        <w:rPr>
          <w:sz w:val="24"/>
        </w:rPr>
      </w:pPr>
      <w:r w:rsidRPr="001F1128">
        <w:rPr>
          <w:sz w:val="24"/>
        </w:rPr>
        <w:lastRenderedPageBreak/>
        <w:t>Utilizing innovative methods for extracting the RNA from the virus through lysis and heat activation, to reduce the dependency on extraction kits.</w:t>
      </w:r>
    </w:p>
    <w:p w:rsidR="001F1128" w:rsidRPr="001F1128" w:rsidRDefault="001F1128" w:rsidP="001F1128">
      <w:pPr>
        <w:pStyle w:val="BodyText"/>
        <w:numPr>
          <w:ilvl w:val="0"/>
          <w:numId w:val="7"/>
        </w:numPr>
        <w:spacing w:after="240"/>
        <w:ind w:left="1418" w:hanging="567"/>
        <w:rPr>
          <w:sz w:val="24"/>
        </w:rPr>
      </w:pPr>
      <w:r w:rsidRPr="001F1128">
        <w:rPr>
          <w:sz w:val="24"/>
        </w:rPr>
        <w:t>Improved workflow in laboratories.</w:t>
      </w:r>
    </w:p>
    <w:p w:rsidR="001F1128" w:rsidRPr="001F1128" w:rsidRDefault="001F1128" w:rsidP="001F1128">
      <w:pPr>
        <w:pStyle w:val="BodyText"/>
        <w:numPr>
          <w:ilvl w:val="0"/>
          <w:numId w:val="7"/>
        </w:numPr>
        <w:ind w:left="1418" w:hanging="567"/>
        <w:rPr>
          <w:sz w:val="24"/>
        </w:rPr>
      </w:pPr>
      <w:r w:rsidRPr="001F1128">
        <w:rPr>
          <w:sz w:val="24"/>
        </w:rPr>
        <w:t>Most importantly, the commitment and hard work of the staff.</w:t>
      </w:r>
    </w:p>
    <w:p w:rsidR="001F1128" w:rsidRPr="001F1128" w:rsidRDefault="001F1128" w:rsidP="001F1128">
      <w:pPr>
        <w:pStyle w:val="BodyText"/>
        <w:rPr>
          <w:sz w:val="24"/>
        </w:rPr>
      </w:pPr>
    </w:p>
    <w:p w:rsidR="001F1128" w:rsidRPr="001F1128" w:rsidRDefault="001F1128" w:rsidP="001F1128">
      <w:pPr>
        <w:pStyle w:val="BodyText"/>
        <w:ind w:left="851" w:hanging="851"/>
        <w:rPr>
          <w:sz w:val="24"/>
        </w:rPr>
      </w:pPr>
      <w:r w:rsidRPr="001F1128">
        <w:rPr>
          <w:sz w:val="24"/>
        </w:rPr>
        <w:t xml:space="preserve">(2) </w:t>
      </w:r>
      <w:r w:rsidRPr="001F1128">
        <w:rPr>
          <w:sz w:val="24"/>
        </w:rPr>
        <w:tab/>
        <w:t>The reduction in the backlogs as well as prioritizations done by the laboratory and health facilities, and the turn-around time has improved in a number of provinces. Western Cape for example is currently processing specimens in less than 48 hours and in many instances in 24 hours.</w:t>
      </w:r>
    </w:p>
    <w:p w:rsidR="001F1128" w:rsidRPr="001F1128" w:rsidRDefault="001F1128" w:rsidP="001F1128">
      <w:pPr>
        <w:pStyle w:val="BodyText"/>
        <w:ind w:left="709"/>
        <w:rPr>
          <w:sz w:val="24"/>
        </w:rPr>
      </w:pPr>
      <w:r w:rsidRPr="001F1128">
        <w:rPr>
          <w:sz w:val="24"/>
        </w:rPr>
        <w:t xml:space="preserve"> </w:t>
      </w:r>
    </w:p>
    <w:p w:rsidR="001F1128" w:rsidRPr="001F1128" w:rsidRDefault="001F1128" w:rsidP="001F1128">
      <w:pPr>
        <w:pStyle w:val="BodyText"/>
        <w:ind w:left="709"/>
        <w:rPr>
          <w:sz w:val="24"/>
        </w:rPr>
      </w:pPr>
      <w:r w:rsidRPr="001F1128">
        <w:rPr>
          <w:sz w:val="24"/>
        </w:rPr>
        <w:t>The average turnaround time, in days, is tabulated below 28 June – 04 July 2020:</w:t>
      </w:r>
    </w:p>
    <w:p w:rsidR="001F1128" w:rsidRPr="001F1128" w:rsidRDefault="001F1128" w:rsidP="001F1128">
      <w:pPr>
        <w:pStyle w:val="BodyText"/>
        <w:ind w:left="709"/>
        <w:rPr>
          <w:sz w:val="24"/>
        </w:rPr>
      </w:pPr>
    </w:p>
    <w:tbl>
      <w:tblPr>
        <w:tblStyle w:val="TableGrid2"/>
        <w:tblW w:w="6274" w:type="dxa"/>
        <w:tblInd w:w="1199" w:type="dxa"/>
        <w:tblLook w:val="04A0" w:firstRow="1" w:lastRow="0" w:firstColumn="1" w:lastColumn="0" w:noHBand="0" w:noVBand="1"/>
      </w:tblPr>
      <w:tblGrid>
        <w:gridCol w:w="4120"/>
        <w:gridCol w:w="2154"/>
      </w:tblGrid>
      <w:tr w:rsidR="001F1128" w:rsidRPr="001F1128" w:rsidTr="00125CDB">
        <w:trPr>
          <w:trHeight w:val="260"/>
        </w:trPr>
        <w:tc>
          <w:tcPr>
            <w:tcW w:w="4120" w:type="dxa"/>
            <w:shd w:val="clear" w:color="auto" w:fill="92D050"/>
            <w:hideMark/>
          </w:tcPr>
          <w:p w:rsidR="001F1128" w:rsidRPr="001F1128" w:rsidRDefault="001F1128" w:rsidP="001F1128">
            <w:pPr>
              <w:rPr>
                <w:b/>
                <w:bCs/>
                <w:color w:val="000000" w:themeColor="text1"/>
                <w:sz w:val="24"/>
                <w:lang w:val="en-ZA" w:eastAsia="en-ZA"/>
              </w:rPr>
            </w:pPr>
            <w:r w:rsidRPr="001F1128">
              <w:rPr>
                <w:b/>
                <w:bCs/>
                <w:color w:val="000000" w:themeColor="text1"/>
                <w:sz w:val="24"/>
                <w:lang w:val="en-ZA" w:eastAsia="en-ZA"/>
              </w:rPr>
              <w:t>Province Name</w:t>
            </w:r>
          </w:p>
        </w:tc>
        <w:tc>
          <w:tcPr>
            <w:tcW w:w="2154" w:type="dxa"/>
            <w:shd w:val="clear" w:color="auto" w:fill="92D050"/>
            <w:hideMark/>
          </w:tcPr>
          <w:p w:rsidR="001F1128" w:rsidRPr="001F1128" w:rsidRDefault="001F1128" w:rsidP="001F1128">
            <w:pPr>
              <w:jc w:val="center"/>
              <w:rPr>
                <w:b/>
                <w:bCs/>
                <w:color w:val="000000" w:themeColor="text1"/>
                <w:sz w:val="24"/>
                <w:lang w:val="en-ZA" w:eastAsia="en-ZA"/>
              </w:rPr>
            </w:pPr>
            <w:r w:rsidRPr="001F1128">
              <w:rPr>
                <w:b/>
                <w:bCs/>
                <w:color w:val="000000" w:themeColor="text1"/>
                <w:sz w:val="24"/>
                <w:lang w:val="en-ZA" w:eastAsia="en-ZA"/>
              </w:rPr>
              <w:t>Average turnaround time in days</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EASTERN CAPE</w:t>
            </w:r>
          </w:p>
        </w:tc>
        <w:tc>
          <w:tcPr>
            <w:tcW w:w="2154" w:type="dxa"/>
            <w:noWrap/>
          </w:tcPr>
          <w:p w:rsidR="001F1128" w:rsidRPr="001F1128" w:rsidRDefault="001F1128" w:rsidP="001F1128">
            <w:pPr>
              <w:jc w:val="right"/>
              <w:rPr>
                <w:color w:val="000000"/>
                <w:sz w:val="24"/>
                <w:lang w:val="en-ZA" w:eastAsia="en-ZA"/>
              </w:rPr>
            </w:pPr>
            <w:r w:rsidRPr="001F1128">
              <w:rPr>
                <w:color w:val="000000"/>
                <w:sz w:val="24"/>
              </w:rPr>
              <w:t>5</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FREE STATE</w:t>
            </w:r>
          </w:p>
        </w:tc>
        <w:tc>
          <w:tcPr>
            <w:tcW w:w="2154" w:type="dxa"/>
            <w:noWrap/>
          </w:tcPr>
          <w:p w:rsidR="001F1128" w:rsidRPr="001F1128" w:rsidRDefault="001F1128" w:rsidP="001F1128">
            <w:pPr>
              <w:jc w:val="right"/>
              <w:rPr>
                <w:color w:val="000000"/>
                <w:sz w:val="24"/>
              </w:rPr>
            </w:pPr>
            <w:r w:rsidRPr="001F1128">
              <w:rPr>
                <w:color w:val="000000"/>
                <w:sz w:val="24"/>
              </w:rPr>
              <w:t>2</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GAUTENG</w:t>
            </w:r>
          </w:p>
        </w:tc>
        <w:tc>
          <w:tcPr>
            <w:tcW w:w="2154" w:type="dxa"/>
            <w:noWrap/>
          </w:tcPr>
          <w:p w:rsidR="001F1128" w:rsidRPr="001F1128" w:rsidRDefault="001F1128" w:rsidP="001F1128">
            <w:pPr>
              <w:jc w:val="right"/>
              <w:rPr>
                <w:color w:val="000000"/>
                <w:sz w:val="24"/>
              </w:rPr>
            </w:pPr>
            <w:r w:rsidRPr="001F1128">
              <w:rPr>
                <w:color w:val="000000"/>
                <w:sz w:val="24"/>
              </w:rPr>
              <w:t>5</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KWAZULU-NATAL</w:t>
            </w:r>
          </w:p>
        </w:tc>
        <w:tc>
          <w:tcPr>
            <w:tcW w:w="2154" w:type="dxa"/>
            <w:noWrap/>
          </w:tcPr>
          <w:p w:rsidR="001F1128" w:rsidRPr="001F1128" w:rsidRDefault="001F1128" w:rsidP="001F1128">
            <w:pPr>
              <w:jc w:val="right"/>
              <w:rPr>
                <w:color w:val="000000"/>
                <w:sz w:val="24"/>
              </w:rPr>
            </w:pPr>
            <w:r w:rsidRPr="001F1128">
              <w:rPr>
                <w:color w:val="000000"/>
                <w:sz w:val="24"/>
              </w:rPr>
              <w:t>8</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LIMPOPO</w:t>
            </w:r>
          </w:p>
        </w:tc>
        <w:tc>
          <w:tcPr>
            <w:tcW w:w="2154" w:type="dxa"/>
            <w:noWrap/>
          </w:tcPr>
          <w:p w:rsidR="001F1128" w:rsidRPr="001F1128" w:rsidRDefault="001F1128" w:rsidP="001F1128">
            <w:pPr>
              <w:jc w:val="right"/>
              <w:rPr>
                <w:color w:val="000000"/>
                <w:sz w:val="24"/>
              </w:rPr>
            </w:pPr>
            <w:r w:rsidRPr="001F1128">
              <w:rPr>
                <w:color w:val="000000"/>
                <w:sz w:val="24"/>
              </w:rPr>
              <w:t>3</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MPUMALANGA</w:t>
            </w:r>
          </w:p>
        </w:tc>
        <w:tc>
          <w:tcPr>
            <w:tcW w:w="2154" w:type="dxa"/>
            <w:noWrap/>
          </w:tcPr>
          <w:p w:rsidR="001F1128" w:rsidRPr="001F1128" w:rsidRDefault="001F1128" w:rsidP="001F1128">
            <w:pPr>
              <w:jc w:val="right"/>
              <w:rPr>
                <w:color w:val="000000"/>
                <w:sz w:val="24"/>
              </w:rPr>
            </w:pPr>
            <w:r w:rsidRPr="001F1128">
              <w:rPr>
                <w:color w:val="000000"/>
                <w:sz w:val="24"/>
              </w:rPr>
              <w:t>4</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NORTH WEST</w:t>
            </w:r>
          </w:p>
        </w:tc>
        <w:tc>
          <w:tcPr>
            <w:tcW w:w="2154" w:type="dxa"/>
            <w:noWrap/>
          </w:tcPr>
          <w:p w:rsidR="001F1128" w:rsidRPr="001F1128" w:rsidRDefault="001F1128" w:rsidP="001F1128">
            <w:pPr>
              <w:jc w:val="right"/>
              <w:rPr>
                <w:color w:val="000000"/>
                <w:sz w:val="24"/>
              </w:rPr>
            </w:pPr>
            <w:r w:rsidRPr="001F1128">
              <w:rPr>
                <w:color w:val="000000"/>
                <w:sz w:val="24"/>
              </w:rPr>
              <w:t>4</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NORTHERN CAPE</w:t>
            </w:r>
          </w:p>
        </w:tc>
        <w:tc>
          <w:tcPr>
            <w:tcW w:w="2154" w:type="dxa"/>
            <w:noWrap/>
          </w:tcPr>
          <w:p w:rsidR="001F1128" w:rsidRPr="001F1128" w:rsidRDefault="001F1128" w:rsidP="001F1128">
            <w:pPr>
              <w:jc w:val="right"/>
              <w:rPr>
                <w:color w:val="000000"/>
                <w:sz w:val="24"/>
              </w:rPr>
            </w:pPr>
            <w:r w:rsidRPr="001F1128">
              <w:rPr>
                <w:color w:val="000000"/>
                <w:sz w:val="24"/>
              </w:rPr>
              <w:t>3</w:t>
            </w:r>
          </w:p>
        </w:tc>
      </w:tr>
      <w:tr w:rsidR="001F1128" w:rsidRPr="001F1128" w:rsidTr="00125CDB">
        <w:trPr>
          <w:trHeight w:val="260"/>
        </w:trPr>
        <w:tc>
          <w:tcPr>
            <w:tcW w:w="4120" w:type="dxa"/>
            <w:hideMark/>
          </w:tcPr>
          <w:p w:rsidR="001F1128" w:rsidRPr="001F1128" w:rsidRDefault="001F1128" w:rsidP="001F1128">
            <w:pPr>
              <w:rPr>
                <w:color w:val="000000" w:themeColor="text1"/>
                <w:sz w:val="24"/>
                <w:lang w:val="en-ZA" w:eastAsia="en-ZA"/>
              </w:rPr>
            </w:pPr>
            <w:r w:rsidRPr="001F1128">
              <w:rPr>
                <w:color w:val="000000" w:themeColor="text1"/>
                <w:sz w:val="24"/>
                <w:lang w:val="en-ZA" w:eastAsia="en-ZA"/>
              </w:rPr>
              <w:t>WESTERN CAPE</w:t>
            </w:r>
          </w:p>
        </w:tc>
        <w:tc>
          <w:tcPr>
            <w:tcW w:w="2154" w:type="dxa"/>
            <w:noWrap/>
          </w:tcPr>
          <w:p w:rsidR="001F1128" w:rsidRPr="001F1128" w:rsidRDefault="001F1128" w:rsidP="001F1128">
            <w:pPr>
              <w:jc w:val="right"/>
              <w:rPr>
                <w:color w:val="000000"/>
                <w:sz w:val="24"/>
              </w:rPr>
            </w:pPr>
            <w:r w:rsidRPr="001F1128">
              <w:rPr>
                <w:color w:val="000000"/>
                <w:sz w:val="24"/>
              </w:rPr>
              <w:t>2</w:t>
            </w:r>
          </w:p>
        </w:tc>
      </w:tr>
    </w:tbl>
    <w:p w:rsidR="001F1128" w:rsidRPr="001F1128" w:rsidRDefault="001F1128" w:rsidP="001F1128">
      <w:pPr>
        <w:pStyle w:val="BodyText"/>
        <w:ind w:left="709"/>
        <w:rPr>
          <w:sz w:val="24"/>
        </w:rPr>
      </w:pPr>
    </w:p>
    <w:p w:rsidR="001F1128" w:rsidRPr="001F1128" w:rsidRDefault="001F1128" w:rsidP="001F1128">
      <w:pPr>
        <w:pStyle w:val="BodyText"/>
        <w:ind w:left="1134"/>
        <w:rPr>
          <w:sz w:val="24"/>
        </w:rPr>
      </w:pPr>
      <w:r w:rsidRPr="001F1128">
        <w:rPr>
          <w:sz w:val="24"/>
        </w:rPr>
        <w:t>A reasonable time to clear a sample through the laboratory, if all reagents (test kits) and resources are available is 48 hours (2days)-72 hours (3 days).</w:t>
      </w:r>
    </w:p>
    <w:p w:rsidR="006665AF" w:rsidRPr="006665AF" w:rsidRDefault="006665AF" w:rsidP="00C3541C">
      <w:pPr>
        <w:pStyle w:val="BodyText"/>
        <w:ind w:left="720"/>
        <w:rPr>
          <w:sz w:val="24"/>
        </w:rPr>
      </w:pPr>
    </w:p>
    <w:p w:rsidR="006665AF" w:rsidRPr="006665AF" w:rsidRDefault="006665AF" w:rsidP="006665AF">
      <w:pPr>
        <w:pStyle w:val="BodyText"/>
        <w:rPr>
          <w:sz w:val="24"/>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0A" w:rsidRDefault="00840E0A">
      <w:r>
        <w:separator/>
      </w:r>
    </w:p>
  </w:endnote>
  <w:endnote w:type="continuationSeparator" w:id="0">
    <w:p w:rsidR="00840E0A" w:rsidRDefault="0084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71351">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0A" w:rsidRDefault="00840E0A">
      <w:r>
        <w:separator/>
      </w:r>
    </w:p>
  </w:footnote>
  <w:footnote w:type="continuationSeparator" w:id="0">
    <w:p w:rsidR="00840E0A" w:rsidRDefault="00840E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3F5C5CB3"/>
    <w:multiLevelType w:val="hybridMultilevel"/>
    <w:tmpl w:val="30A456C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550D0C20"/>
    <w:multiLevelType w:val="hybridMultilevel"/>
    <w:tmpl w:val="234EB598"/>
    <w:lvl w:ilvl="0" w:tplc="7C3EFB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3963D6"/>
    <w:multiLevelType w:val="hybridMultilevel"/>
    <w:tmpl w:val="1C344062"/>
    <w:lvl w:ilvl="0" w:tplc="C1E29B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7"/>
  </w:num>
  <w:num w:numId="6">
    <w:abstractNumId w:val="4"/>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1351"/>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22F"/>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1128"/>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25BFD"/>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5AF"/>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04ED1"/>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2BDD"/>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90"/>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0E0A"/>
    <w:rsid w:val="00846CD4"/>
    <w:rsid w:val="00852234"/>
    <w:rsid w:val="00855193"/>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12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541C"/>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87F59"/>
    <w:rsid w:val="00C9010E"/>
    <w:rsid w:val="00C91D4D"/>
    <w:rsid w:val="00CA0154"/>
    <w:rsid w:val="00CA0E36"/>
    <w:rsid w:val="00CB41D7"/>
    <w:rsid w:val="00CB5879"/>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TableGrid2">
    <w:name w:val="Table Grid2"/>
    <w:basedOn w:val="TableNormal"/>
    <w:next w:val="TableGrid"/>
    <w:uiPriority w:val="39"/>
    <w:rsid w:val="00704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2020-07-22T15:18:00Z</dcterms:created>
  <dcterms:modified xsi:type="dcterms:W3CDTF">2020-07-22T15:18:00Z</dcterms:modified>
</cp:coreProperties>
</file>